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9"/>
        <w:ind w:firstLine="0"/>
        <w:jc w:val="center"/>
        <w:rPr>
          <w:rFonts w:ascii="Times New Roman" w:hAnsi="Times New Roman"/>
          <w:b/>
          <w:bCs/>
          <w:color w:val="auto"/>
          <w:spacing w:val="80"/>
          <w:sz w:val="72"/>
          <w:szCs w:val="72"/>
          <w:highlight w:val="none"/>
        </w:rPr>
      </w:pPr>
      <w:r>
        <w:rPr>
          <w:rFonts w:ascii="Times New Roman" w:hAnsi="Times New Roman"/>
          <w:b/>
          <w:bCs/>
          <w:color w:val="auto"/>
          <w:spacing w:val="80"/>
          <w:sz w:val="72"/>
          <w:szCs w:val="72"/>
          <w:highlight w:val="none"/>
        </w:rPr>
      </w:r>
      <w:r/>
    </w:p>
    <w:p>
      <w:pPr>
        <w:pStyle w:val="1129"/>
        <w:ind w:firstLine="0"/>
        <w:jc w:val="center"/>
        <w:rPr>
          <w:rFonts w:ascii="Times New Roman" w:hAnsi="Times New Roman"/>
          <w:b/>
          <w:bCs/>
          <w:color w:val="auto"/>
          <w:sz w:val="72"/>
          <w:szCs w:val="72"/>
          <w:highlight w:val="none"/>
        </w:rPr>
        <w:outlineLvl w:val="0"/>
      </w:pPr>
      <w:r/>
      <w:bookmarkStart w:id="0" w:name="_Toc17206"/>
      <w:r/>
      <w:bookmarkStart w:id="1" w:name="_Toc22294"/>
      <w:r/>
      <w:bookmarkStart w:id="2" w:name="_Toc24327"/>
      <w:r>
        <w:rPr>
          <w:rFonts w:ascii="Times New Roman" w:hAnsi="Times New Roman"/>
          <w:b/>
          <w:bCs/>
          <w:color w:val="auto"/>
          <w:sz w:val="84"/>
          <w:szCs w:val="84"/>
          <w:highlight w:val="none"/>
        </w:rPr>
        <w:t xml:space="preserve">竞争性磋商文件</w:t>
      </w:r>
      <w:bookmarkEnd w:id="0"/>
      <w:r/>
      <w:bookmarkEnd w:id="1"/>
      <w:r/>
      <w:bookmarkEnd w:id="2"/>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pStyle w:val="882"/>
        <w:rPr>
          <w:color w:val="auto"/>
          <w:highlight w:val="none"/>
        </w:rPr>
      </w:pPr>
      <w:r>
        <w:rPr>
          <w:color w:val="auto"/>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pStyle w:val="1129"/>
        <w:ind w:left="2883" w:hanging="1606"/>
        <w:rPr>
          <w:rFonts w:hint="eastAsia" w:ascii="Times New Roman" w:hAnsi="Times New Roman" w:eastAsia="宋体" w:cs="Times New Roman"/>
          <w:b/>
          <w:bCs/>
          <w:color w:val="auto"/>
          <w:sz w:val="32"/>
          <w:szCs w:val="24"/>
          <w:highlight w:val="none"/>
          <w:lang w:eastAsia="zh-CN"/>
        </w:rPr>
      </w:pPr>
      <w:r>
        <w:rPr>
          <w:rFonts w:ascii="Times New Roman" w:hAnsi="Times New Roman" w:eastAsia="宋体" w:cs="Times New Roman"/>
          <w:b/>
          <w:bCs/>
          <w:color w:val="auto"/>
          <w:sz w:val="32"/>
          <w:szCs w:val="24"/>
          <w:highlight w:val="none"/>
        </w:rPr>
        <w:t xml:space="preserve">项目名称：</w:t>
      </w:r>
      <w:r>
        <w:rPr>
          <w:rFonts w:hint="eastAsia" w:ascii="宋体" w:hAnsi="宋体"/>
          <w:b/>
          <w:bCs/>
          <w:color w:val="auto"/>
          <w:sz w:val="32"/>
          <w:highlight w:val="none"/>
          <w:lang w:eastAsia="zh-CN"/>
        </w:rPr>
        <w:t xml:space="preserve">2026-2027年灌云县残疾人寄宿制托养服务</w:t>
      </w:r>
      <w:r/>
    </w:p>
    <w:p>
      <w:pPr>
        <w:ind w:firstLine="1285"/>
        <w:spacing w:line="360" w:lineRule="auto"/>
        <w:rPr>
          <w:rFonts w:hint="default" w:ascii="Times New Roman" w:hAnsi="Times New Roman" w:eastAsia="宋体" w:cs="Times New Roman"/>
          <w:b/>
          <w:bCs/>
          <w:color w:val="auto"/>
          <w:sz w:val="32"/>
          <w:szCs w:val="24"/>
          <w:highlight w:val="none"/>
          <w:lang w:val="en-US" w:eastAsia="zh-CN"/>
        </w:rPr>
      </w:pPr>
      <w:r>
        <w:rPr>
          <w:rFonts w:ascii="Times New Roman" w:hAnsi="Times New Roman" w:eastAsia="宋体" w:cs="Times New Roman"/>
          <w:b/>
          <w:bCs/>
          <w:color w:val="auto"/>
          <w:sz w:val="32"/>
          <w:szCs w:val="24"/>
          <w:highlight w:val="none"/>
        </w:rPr>
        <w:t xml:space="preserve">项目编号：</w:t>
      </w:r>
      <w:r>
        <w:rPr>
          <w:rFonts w:hint="eastAsia" w:ascii="Times New Roman" w:hAnsi="Times New Roman" w:eastAsia="宋体" w:cs="Times New Roman"/>
          <w:b/>
          <w:bCs/>
          <w:color w:val="auto"/>
          <w:sz w:val="32"/>
          <w:szCs w:val="24"/>
          <w:highlight w:val="none"/>
        </w:rPr>
        <w:t xml:space="preserve">JSZC-320723-CXSZ-C2026-0002</w:t>
      </w:r>
      <w:r/>
    </w:p>
    <w:p>
      <w:pPr>
        <w:jc w:val="center"/>
        <w:spacing w:line="360" w:lineRule="auto"/>
        <w:rPr>
          <w:rFonts w:ascii="Times New Roman" w:hAnsi="Times New Roman" w:eastAsia="宋体" w:cs="Times New Roman"/>
          <w:b/>
          <w:bCs/>
          <w:color w:val="auto"/>
          <w:sz w:val="32"/>
          <w:szCs w:val="24"/>
          <w:highlight w:val="none"/>
        </w:rPr>
      </w:pPr>
      <w:r/>
      <w:bookmarkStart w:id="3" w:name="OLE_LINK31"/>
      <w:r/>
      <w:bookmarkStart w:id="4" w:name="OLE_LINK4"/>
      <w:r/>
      <w:r/>
    </w:p>
    <w:p>
      <w:pPr>
        <w:jc w:val="both"/>
        <w:spacing w:line="36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pStyle w:val="882"/>
        <w:rPr>
          <w:color w:val="auto"/>
          <w:highlight w:val="none"/>
        </w:rPr>
      </w:pPr>
      <w:r>
        <w:rPr>
          <w:color w:val="auto"/>
          <w:highlight w:val="none"/>
        </w:rPr>
      </w:r>
      <w:r/>
    </w:p>
    <w:p>
      <w:pPr>
        <w:pStyle w:val="882"/>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pStyle w:val="882"/>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jc w:val="center"/>
        <w:spacing w:line="36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ind w:firstLine="1285"/>
        <w:jc w:val="both"/>
        <w:spacing w:line="360" w:lineRule="auto"/>
        <w:rPr>
          <w:rFonts w:hint="eastAsia" w:ascii="Times New Roman" w:hAnsi="Times New Roman" w:eastAsia="宋体" w:cs="Times New Roman"/>
          <w:b/>
          <w:bCs/>
          <w:color w:val="auto"/>
          <w:sz w:val="32"/>
          <w:szCs w:val="24"/>
          <w:highlight w:val="none"/>
          <w:lang w:eastAsia="zh-CN"/>
        </w:rPr>
      </w:pPr>
      <w:r>
        <w:rPr>
          <w:rFonts w:ascii="Times New Roman" w:hAnsi="Times New Roman" w:eastAsia="宋体" w:cs="Times New Roman"/>
          <w:b/>
          <w:bCs/>
          <w:color w:val="auto"/>
          <w:sz w:val="32"/>
          <w:szCs w:val="24"/>
          <w:highlight w:val="none"/>
        </w:rPr>
        <w:t xml:space="preserve">采购人：</w:t>
      </w:r>
      <w:bookmarkEnd w:id="3"/>
      <w:r/>
      <w:bookmarkEnd w:id="4"/>
      <w:r>
        <w:rPr>
          <w:rFonts w:hint="eastAsia" w:cs="Times New Roman"/>
          <w:b/>
          <w:bCs/>
          <w:color w:val="auto"/>
          <w:sz w:val="32"/>
          <w:szCs w:val="24"/>
          <w:highlight w:val="none"/>
          <w:lang w:eastAsia="zh-CN"/>
        </w:rPr>
        <w:t xml:space="preserve">灌云县残疾人联合会</w:t>
      </w:r>
      <w:r/>
    </w:p>
    <w:p>
      <w:pPr>
        <w:ind w:firstLine="1285"/>
        <w:jc w:val="both"/>
        <w:spacing w:line="360" w:lineRule="auto"/>
        <w:rPr>
          <w:rFonts w:hint="eastAsia" w:ascii="Times New Roman" w:hAnsi="Times New Roman" w:eastAsia="宋体" w:cs="Times New Roman"/>
          <w:b/>
          <w:bCs/>
          <w:color w:val="auto"/>
          <w:sz w:val="32"/>
          <w:szCs w:val="24"/>
          <w:highlight w:val="none"/>
          <w:lang w:eastAsia="zh-CN"/>
        </w:rPr>
      </w:pPr>
      <w:r>
        <w:rPr>
          <w:rFonts w:ascii="Times New Roman" w:hAnsi="Times New Roman" w:eastAsia="宋体" w:cs="Times New Roman"/>
          <w:b/>
          <w:bCs/>
          <w:color w:val="auto"/>
          <w:sz w:val="32"/>
          <w:szCs w:val="24"/>
          <w:highlight w:val="none"/>
        </w:rPr>
        <w:t xml:space="preserve">代理机构：</w:t>
      </w:r>
      <w:bookmarkStart w:id="5" w:name="OLE_LINK35"/>
      <w:r/>
      <w:bookmarkStart w:id="6" w:name="OLE_LINK12"/>
      <w:r>
        <w:rPr>
          <w:rFonts w:hint="eastAsia" w:cs="Times New Roman"/>
          <w:b/>
          <w:bCs/>
          <w:color w:val="auto"/>
          <w:sz w:val="32"/>
          <w:szCs w:val="24"/>
          <w:highlight w:val="none"/>
          <w:lang w:eastAsia="zh-CN"/>
        </w:rPr>
        <w:t xml:space="preserve">连云港中梁工程咨询有限公司</w:t>
      </w:r>
      <w:r/>
    </w:p>
    <w:p>
      <w:pPr>
        <w:ind w:firstLine="3534"/>
        <w:jc w:val="both"/>
        <w:spacing w:line="36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t xml:space="preserve">202</w:t>
      </w:r>
      <w:r>
        <w:rPr>
          <w:rFonts w:hint="eastAsia" w:ascii="Times New Roman" w:hAnsi="Times New Roman" w:eastAsia="宋体" w:cs="Times New Roman"/>
          <w:b/>
          <w:bCs/>
          <w:color w:val="auto"/>
          <w:sz w:val="32"/>
          <w:szCs w:val="24"/>
          <w:highlight w:val="none"/>
        </w:rPr>
        <w:t xml:space="preserve">6</w:t>
      </w:r>
      <w:r>
        <w:rPr>
          <w:rFonts w:ascii="Times New Roman" w:hAnsi="Times New Roman" w:eastAsia="宋体" w:cs="Times New Roman"/>
          <w:b/>
          <w:bCs/>
          <w:color w:val="auto"/>
          <w:sz w:val="32"/>
          <w:szCs w:val="24"/>
          <w:highlight w:val="none"/>
        </w:rPr>
        <w:t xml:space="preserve">年6</w:t>
      </w:r>
      <w:r>
        <w:rPr>
          <w:rFonts w:ascii="Times New Roman" w:hAnsi="Times New Roman" w:eastAsia="宋体" w:cs="Times New Roman"/>
          <w:b/>
          <w:bCs/>
          <w:color w:val="auto"/>
          <w:sz w:val="32"/>
          <w:szCs w:val="24"/>
          <w:highlight w:val="none"/>
        </w:rPr>
        <w:t xml:space="preserve">月</w:t>
      </w:r>
      <w:bookmarkEnd w:id="5"/>
      <w:r/>
      <w:bookmarkEnd w:id="6"/>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rPr>
          <w:b/>
          <w:color w:val="auto"/>
          <w:sz w:val="44"/>
          <w:szCs w:val="21"/>
          <w:highlight w:val="none"/>
        </w:rPr>
      </w:pPr>
      <w:r/>
      <w:bookmarkStart w:id="7" w:name="_Toc1185"/>
      <w:r/>
      <w:bookmarkStart w:id="8" w:name="_Toc19587"/>
      <w:r/>
      <w:bookmarkStart w:id="9" w:name="_Toc28507"/>
      <w:r/>
      <w:bookmarkStart w:id="10" w:name="_Toc32753"/>
      <w:r/>
      <w:bookmarkStart w:id="11" w:name="_Toc28033"/>
      <w:r>
        <w:rPr>
          <w:b/>
          <w:color w:val="auto"/>
          <w:sz w:val="44"/>
          <w:szCs w:val="21"/>
          <w:highlight w:val="none"/>
        </w:rPr>
        <w:br w:type="page" w:clear="all"/>
      </w:r>
      <w:r/>
    </w:p>
    <w:p>
      <w:pPr>
        <w:jc w:val="center"/>
        <w:spacing w:line="480" w:lineRule="auto"/>
        <w:rPr>
          <w:color w:val="auto"/>
          <w:highlight w:val="none"/>
        </w:rPr>
        <w:outlineLvl w:val="0"/>
      </w:pPr>
      <w:r>
        <w:rPr>
          <w:b/>
          <w:color w:val="auto"/>
          <w:sz w:val="44"/>
          <w:szCs w:val="21"/>
          <w:highlight w:val="none"/>
        </w:rPr>
        <w:t xml:space="preserve">目 录</w:t>
      </w:r>
      <w:bookmarkEnd w:id="7"/>
      <w:r/>
      <w:bookmarkEnd w:id="8"/>
      <w:r/>
      <w:bookmarkEnd w:id="9"/>
      <w:r/>
      <w:bookmarkEnd w:id="10"/>
      <w:r/>
      <w:bookmarkEnd w:id="11"/>
      <w:r/>
      <w:r/>
    </w:p>
    <w:p>
      <w:pPr>
        <w:pStyle w:val="900"/>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_Toc5839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第一章 竞争性磋商邀请</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_Toc5839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1</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00"/>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_Toc13770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第二章 磋商须知</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_Toc13770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5</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00"/>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_Toc3544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第三章 合同文本</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_Toc3544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21</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00"/>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_Toc5536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第四章 项目需求</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_Toc5536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26</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00"/>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_Toc415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第五章 评审方法与评审标准</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_Toc415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30</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00"/>
        <w:keepLines w:val="0"/>
        <w:keepNext w:val="0"/>
        <w:pageBreakBefore w:val="0"/>
        <w:spacing w:line="360" w:lineRule="auto"/>
        <w:widowControl w:val="off"/>
        <w:tabs>
          <w:tab w:val="clear" w:pos="9440" w:leader="none"/>
          <w:tab w:val="right" w:pos="9451" w:leader="dot"/>
        </w:tabs>
        <w:rPr>
          <w:color w:val="auto"/>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_Toc23052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第六章 响应文件格式</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_Toc23052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34</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33"/>
        <w:rPr>
          <w:color w:val="auto"/>
          <w:highlight w:val="none"/>
        </w:rPr>
      </w:pPr>
      <w:r>
        <w:rPr>
          <w:color w:val="auto"/>
          <w:highlight w:val="none"/>
        </w:rPr>
        <w:fldChar w:fldCharType="end"/>
      </w:r>
      <w:r/>
    </w:p>
    <w:p>
      <w:pPr>
        <w:pStyle w:val="867"/>
        <w:ind w:left="1470" w:right="1470"/>
        <w:rPr>
          <w:rFonts w:ascii="Times New Roman" w:hAnsi="Times New Roman"/>
          <w:color w:val="auto"/>
          <w:szCs w:val="44"/>
          <w:highlight w:val="none"/>
        </w:rPr>
      </w:pPr>
      <w:r>
        <w:rPr>
          <w:rFonts w:ascii="Times New Roman" w:hAnsi="Times New Roman"/>
          <w:color w:val="auto"/>
          <w:szCs w:val="44"/>
          <w:highlight w:val="none"/>
        </w:rPr>
      </w:r>
      <w:r/>
    </w:p>
    <w:p>
      <w:pPr>
        <w:pStyle w:val="867"/>
        <w:ind w:left="1470" w:right="1470"/>
        <w:rPr>
          <w:rFonts w:ascii="Times New Roman" w:hAnsi="Times New Roman"/>
          <w:color w:val="auto"/>
          <w:szCs w:val="44"/>
          <w:highlight w:val="none"/>
        </w:rPr>
      </w:pPr>
      <w:r>
        <w:rPr>
          <w:rFonts w:ascii="Times New Roman" w:hAnsi="Times New Roman"/>
          <w:color w:val="auto"/>
          <w:szCs w:val="44"/>
          <w:highlight w:val="none"/>
        </w:rPr>
      </w:r>
      <w:r/>
    </w:p>
    <w:p>
      <w:pPr>
        <w:pStyle w:val="867"/>
        <w:ind w:left="1470" w:right="1470"/>
        <w:rPr>
          <w:rFonts w:ascii="Times New Roman" w:hAnsi="Times New Roman"/>
          <w:color w:val="auto"/>
          <w:szCs w:val="44"/>
          <w:highlight w:val="none"/>
        </w:rPr>
      </w:pPr>
      <w:r>
        <w:rPr>
          <w:rFonts w:ascii="Times New Roman" w:hAnsi="Times New Roman"/>
          <w:color w:val="auto"/>
          <w:szCs w:val="44"/>
          <w:highlight w:val="none"/>
        </w:rPr>
      </w:r>
      <w:r/>
    </w:p>
    <w:p>
      <w:pPr>
        <w:rPr>
          <w:color w:val="auto"/>
          <w:sz w:val="44"/>
          <w:szCs w:val="44"/>
          <w:highlight w:val="none"/>
        </w:rPr>
      </w:pPr>
      <w:r>
        <w:rPr>
          <w:color w:val="auto"/>
          <w:sz w:val="44"/>
          <w:szCs w:val="44"/>
          <w:highlight w:val="none"/>
        </w:rPr>
      </w:r>
      <w:r/>
    </w:p>
    <w:p>
      <w:pPr>
        <w:rPr>
          <w:color w:val="auto"/>
          <w:sz w:val="44"/>
          <w:szCs w:val="44"/>
          <w:highlight w:val="none"/>
        </w:rPr>
      </w:pPr>
      <w:r>
        <w:rPr>
          <w:color w:val="auto"/>
          <w:sz w:val="44"/>
          <w:szCs w:val="44"/>
          <w:highlight w:val="none"/>
        </w:rPr>
      </w:r>
      <w:r/>
    </w:p>
    <w:p>
      <w:pPr>
        <w:rPr>
          <w:color w:val="auto"/>
          <w:sz w:val="44"/>
          <w:szCs w:val="44"/>
          <w:highlight w:val="none"/>
        </w:rPr>
      </w:pPr>
      <w:r>
        <w:rPr>
          <w:color w:val="auto"/>
          <w:sz w:val="44"/>
          <w:szCs w:val="44"/>
          <w:highlight w:val="none"/>
        </w:rPr>
      </w:r>
      <w:r/>
    </w:p>
    <w:p>
      <w:pPr>
        <w:pStyle w:val="867"/>
        <w:ind w:left="1470" w:right="1470"/>
        <w:rPr>
          <w:rFonts w:ascii="Times New Roman" w:hAnsi="Times New Roman"/>
          <w:color w:val="auto"/>
          <w:szCs w:val="44"/>
          <w:highlight w:val="none"/>
        </w:rPr>
        <w:sectPr>
          <w:headerReference w:type="default" r:id="rId9"/>
          <w:headerReference w:type="first" r:id="rId10"/>
          <w:footerReference w:type="default" r:id="rId12"/>
          <w:footnotePr/>
          <w:endnotePr/>
          <w:type w:val="nextPage"/>
          <w:pgSz w:w="11906" w:h="16838" w:orient="portrait"/>
          <w:pgMar w:top="1440" w:right="1440" w:bottom="1440" w:left="1440" w:header="851" w:footer="907" w:gutter="0"/>
          <w:pgNumType w:start="1"/>
          <w:cols w:num="1" w:sep="0" w:space="720" w:equalWidth="1"/>
          <w:docGrid w:linePitch="360"/>
          <w:titlePg/>
        </w:sectPr>
      </w:pPr>
      <w:r>
        <w:rPr>
          <w:rFonts w:ascii="Times New Roman" w:hAnsi="Times New Roman"/>
          <w:color w:val="auto"/>
          <w:szCs w:val="44"/>
          <w:highlight w:val="none"/>
        </w:rPr>
      </w:r>
      <w:r/>
    </w:p>
    <w:p>
      <w:pPr>
        <w:numPr>
          <w:ilvl w:val="0"/>
          <w:numId w:val="3"/>
        </w:numPr>
        <w:jc w:val="center"/>
        <w:spacing w:line="360" w:lineRule="auto"/>
        <w:rPr>
          <w:b/>
          <w:color w:val="auto"/>
          <w:sz w:val="36"/>
          <w:szCs w:val="36"/>
          <w:highlight w:val="none"/>
        </w:rPr>
        <w:outlineLvl w:val="0"/>
      </w:pPr>
      <w:r/>
      <w:bookmarkStart w:id="12" w:name="_Toc18255"/>
      <w:r/>
      <w:bookmarkStart w:id="13" w:name="_Toc15455"/>
      <w:r/>
      <w:bookmarkStart w:id="14" w:name="_Toc5839"/>
      <w:r>
        <w:rPr>
          <w:b/>
          <w:color w:val="auto"/>
          <w:sz w:val="36"/>
          <w:szCs w:val="36"/>
          <w:highlight w:val="none"/>
        </w:rPr>
        <w:t xml:space="preserve">竞争性磋商</w:t>
      </w:r>
      <w:bookmarkEnd w:id="12"/>
      <w:r>
        <w:rPr>
          <w:b/>
          <w:color w:val="auto"/>
          <w:sz w:val="36"/>
          <w:szCs w:val="36"/>
          <w:highlight w:val="none"/>
        </w:rPr>
        <w:t xml:space="preserve">邀请</w:t>
      </w:r>
      <w:bookmarkEnd w:id="13"/>
      <w:r/>
      <w:bookmarkEnd w:id="14"/>
      <w:r/>
      <w:r/>
    </w:p>
    <w:p>
      <w:pPr>
        <w:ind w:firstLine="480"/>
        <w:spacing w:line="360" w:lineRule="auto"/>
        <w:rPr>
          <w:color w:val="auto"/>
          <w:sz w:val="24"/>
          <w:highlight w:val="none"/>
        </w:rPr>
        <w:pBdr>
          <w:top w:val="single" w:color="auto" w:sz="4" w:space="1"/>
          <w:left w:val="single" w:color="auto" w:sz="4" w:space="4"/>
          <w:bottom w:val="single" w:color="auto" w:sz="4" w:space="1"/>
          <w:right w:val="single" w:color="auto" w:sz="4" w:space="4"/>
        </w:pBdr>
      </w:pPr>
      <w:r>
        <w:rPr>
          <w:color w:val="auto"/>
          <w:sz w:val="24"/>
          <w:highlight w:val="none"/>
        </w:rPr>
        <w:t xml:space="preserve">项目概况</w:t>
      </w:r>
      <w:r/>
    </w:p>
    <w:p>
      <w:pPr>
        <w:ind w:firstLine="480"/>
        <w:spacing w:line="360" w:lineRule="auto"/>
        <w:rPr>
          <w:color w:val="auto"/>
          <w:sz w:val="24"/>
          <w:highlight w:val="none"/>
          <w:u w:val="singl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4"/>
          <w:highlight w:val="none"/>
          <w:u w:val="single"/>
          <w:lang w:eastAsia="zh-CN"/>
        </w:rPr>
        <w:t xml:space="preserve">2026-2027年灌云县残疾人寄宿制托养服务</w:t>
      </w:r>
      <w:r>
        <w:rPr>
          <w:color w:val="auto"/>
          <w:sz w:val="24"/>
          <w:highlight w:val="none"/>
        </w:rPr>
        <w:t xml:space="preserve">的潜在供应商应在</w:t>
      </w:r>
      <w:r>
        <w:rPr>
          <w:rFonts w:ascii="宋体" w:hAnsi="宋体"/>
          <w:color w:val="auto"/>
          <w:sz w:val="24"/>
          <w:szCs w:val="28"/>
          <w:highlight w:val="none"/>
          <w:u w:val="single"/>
        </w:rPr>
        <w:t xml:space="preserve">“江苏政府采购网”自行免费下载</w:t>
      </w:r>
      <w:r>
        <w:rPr>
          <w:color w:val="auto"/>
          <w:sz w:val="24"/>
          <w:highlight w:val="none"/>
        </w:rPr>
        <w:t xml:space="preserve">采购文件，并于</w:t>
      </w:r>
      <w:r>
        <w:rPr>
          <w:b/>
          <w:bCs/>
          <w:color w:val="auto"/>
          <w:sz w:val="24"/>
          <w:highlight w:val="none"/>
          <w:u w:val="single"/>
        </w:rPr>
        <w:t xml:space="preserve">202</w:t>
      </w:r>
      <w:r>
        <w:rPr>
          <w:rFonts w:hint="eastAsia"/>
          <w:b/>
          <w:bCs/>
          <w:color w:val="auto"/>
          <w:sz w:val="24"/>
          <w:highlight w:val="none"/>
          <w:u w:val="single"/>
        </w:rPr>
        <w:t xml:space="preserve">6</w:t>
      </w:r>
      <w:r>
        <w:rPr>
          <w:b/>
          <w:bCs/>
          <w:color w:val="auto"/>
          <w:sz w:val="24"/>
          <w:highlight w:val="none"/>
          <w:u w:val="single"/>
        </w:rPr>
        <w:t xml:space="preserve">年</w:t>
      </w:r>
      <w:r>
        <w:rPr>
          <w:rFonts w:hint="eastAsia"/>
          <w:b/>
          <w:bCs/>
          <w:color w:val="auto"/>
          <w:sz w:val="24"/>
          <w:highlight w:val="none"/>
          <w:u w:val="single"/>
          <w:lang w:val="en-US" w:eastAsia="zh-CN"/>
        </w:rPr>
        <w:t xml:space="preserve">7</w:t>
      </w:r>
      <w:r>
        <w:rPr>
          <w:b/>
          <w:bCs/>
          <w:color w:val="auto"/>
          <w:sz w:val="24"/>
          <w:highlight w:val="none"/>
          <w:u w:val="single"/>
        </w:rPr>
        <w:t xml:space="preserve">月</w:t>
      </w:r>
      <w:r>
        <w:rPr>
          <w:rFonts w:hint="eastAsia"/>
          <w:b/>
          <w:bCs/>
          <w:color w:val="auto"/>
          <w:sz w:val="24"/>
          <w:highlight w:val="none"/>
          <w:u w:val="single"/>
          <w:lang w:val="en-US" w:eastAsia="zh-CN"/>
        </w:rPr>
        <w:t xml:space="preserve">21</w:t>
      </w:r>
      <w:r>
        <w:rPr>
          <w:b/>
          <w:bCs/>
          <w:color w:val="auto"/>
          <w:sz w:val="24"/>
          <w:highlight w:val="none"/>
          <w:u w:val="single"/>
        </w:rPr>
        <w:t xml:space="preserve">日</w:t>
      </w:r>
      <w:r>
        <w:rPr>
          <w:rFonts w:hint="eastAsia"/>
          <w:b/>
          <w:bCs/>
          <w:color w:val="auto"/>
          <w:sz w:val="24"/>
          <w:highlight w:val="none"/>
          <w:u w:val="single"/>
          <w:lang w:val="en-US" w:eastAsia="zh-CN"/>
        </w:rPr>
        <w:t xml:space="preserve">10</w:t>
      </w:r>
      <w:r>
        <w:rPr>
          <w:b/>
          <w:bCs/>
          <w:color w:val="auto"/>
          <w:sz w:val="24"/>
          <w:highlight w:val="none"/>
          <w:u w:val="single"/>
        </w:rPr>
        <w:t xml:space="preserve">时</w:t>
      </w:r>
      <w:r>
        <w:rPr>
          <w:rFonts w:hint="eastAsia"/>
          <w:b/>
          <w:bCs/>
          <w:color w:val="auto"/>
          <w:sz w:val="24"/>
          <w:highlight w:val="none"/>
          <w:u w:val="single"/>
        </w:rPr>
        <w:t xml:space="preserve">00</w:t>
      </w:r>
      <w:r>
        <w:rPr>
          <w:b/>
          <w:bCs/>
          <w:color w:val="auto"/>
          <w:sz w:val="24"/>
          <w:highlight w:val="none"/>
          <w:u w:val="single"/>
        </w:rPr>
        <w:t xml:space="preserve">分00秒</w:t>
      </w:r>
      <w:r>
        <w:rPr>
          <w:color w:val="auto"/>
          <w:sz w:val="24"/>
          <w:highlight w:val="none"/>
        </w:rPr>
        <w:t xml:space="preserve">（北京时间）前上传电子响应文件。 </w:t>
      </w:r>
      <w:r/>
    </w:p>
    <w:p>
      <w:pPr>
        <w:pStyle w:val="868"/>
        <w:jc w:val="left"/>
        <w:keepLines/>
        <w:keepNext/>
        <w:pageBreakBefore w:val="0"/>
        <w:spacing w:before="0" w:after="0" w:line="360" w:lineRule="auto"/>
        <w:widowControl w:val="off"/>
        <w:rPr>
          <w:color w:val="auto"/>
          <w:sz w:val="28"/>
          <w:szCs w:val="28"/>
          <w:highlight w:val="none"/>
        </w:rPr>
      </w:pPr>
      <w:r/>
      <w:bookmarkStart w:id="15" w:name="_Toc35393629"/>
      <w:r/>
      <w:bookmarkStart w:id="16" w:name="_Toc28359089"/>
      <w:r/>
      <w:bookmarkStart w:id="17" w:name="_Toc28359012"/>
      <w:r/>
      <w:bookmarkStart w:id="18" w:name="_Toc35393798"/>
      <w:r>
        <w:rPr>
          <w:color w:val="auto"/>
          <w:sz w:val="28"/>
          <w:szCs w:val="28"/>
          <w:highlight w:val="none"/>
        </w:rPr>
        <w:t xml:space="preserve">一、项目基本情况</w:t>
      </w:r>
      <w:bookmarkEnd w:id="15"/>
      <w:r/>
      <w:bookmarkEnd w:id="16"/>
      <w:r/>
      <w:bookmarkEnd w:id="17"/>
      <w:r/>
      <w:bookmarkEnd w:id="18"/>
      <w:r/>
      <w:r/>
    </w:p>
    <w:p>
      <w:pPr>
        <w:ind w:firstLine="480"/>
        <w:spacing w:line="360" w:lineRule="auto"/>
        <w:rPr>
          <w:rFonts w:hint="eastAsia"/>
          <w:color w:val="auto"/>
          <w:sz w:val="24"/>
          <w:highlight w:val="none"/>
          <w:lang w:val="en-US" w:eastAsia="zh-CN"/>
        </w:rPr>
      </w:pPr>
      <w:r>
        <w:rPr>
          <w:color w:val="auto"/>
          <w:sz w:val="24"/>
          <w:highlight w:val="none"/>
        </w:rPr>
        <w:t xml:space="preserve">项目编号：JSZC-320723-CXSZ-C2026-0002</w:t>
      </w:r>
      <w:r/>
    </w:p>
    <w:p>
      <w:pPr>
        <w:ind w:firstLine="480"/>
        <w:spacing w:line="360" w:lineRule="auto"/>
        <w:rPr>
          <w:rFonts w:hint="eastAsia" w:eastAsia="宋体"/>
          <w:color w:val="auto"/>
          <w:sz w:val="24"/>
          <w:highlight w:val="none"/>
          <w:lang w:eastAsia="zh-CN"/>
        </w:rPr>
      </w:pPr>
      <w:r>
        <w:rPr>
          <w:color w:val="auto"/>
          <w:sz w:val="24"/>
          <w:highlight w:val="none"/>
        </w:rPr>
        <w:t xml:space="preserve">项目名称：</w:t>
      </w:r>
      <w:r>
        <w:rPr>
          <w:rFonts w:hint="eastAsia"/>
          <w:color w:val="auto"/>
          <w:sz w:val="24"/>
          <w:highlight w:val="none"/>
          <w:lang w:eastAsia="zh-CN"/>
        </w:rPr>
        <w:t xml:space="preserve">2026-2027年灌云县残疾人寄宿制托养服务</w:t>
      </w:r>
      <w:r/>
    </w:p>
    <w:p>
      <w:pPr>
        <w:ind w:firstLine="480"/>
        <w:spacing w:line="360" w:lineRule="auto"/>
        <w:rPr>
          <w:color w:val="auto"/>
          <w:sz w:val="24"/>
          <w:highlight w:val="none"/>
        </w:rPr>
      </w:pPr>
      <w:r>
        <w:rPr>
          <w:color w:val="auto"/>
          <w:sz w:val="24"/>
          <w:highlight w:val="none"/>
        </w:rPr>
        <w:t xml:space="preserve">采购方式：竞争性磋商</w:t>
      </w:r>
      <w:r/>
    </w:p>
    <w:p>
      <w:pPr>
        <w:ind w:firstLine="480"/>
        <w:spacing w:line="360" w:lineRule="auto"/>
        <w:rPr>
          <w:color w:val="auto"/>
          <w:sz w:val="24"/>
          <w:highlight w:val="none"/>
        </w:rPr>
      </w:pPr>
      <w:r>
        <w:rPr>
          <w:color w:val="auto"/>
          <w:sz w:val="24"/>
          <w:highlight w:val="none"/>
        </w:rPr>
        <w:t xml:space="preserve">预算金额：人民币</w:t>
      </w:r>
      <w:r>
        <w:rPr>
          <w:rFonts w:hint="eastAsia"/>
          <w:color w:val="auto"/>
          <w:sz w:val="24"/>
          <w:highlight w:val="none"/>
          <w:lang w:val="en-US" w:eastAsia="zh-CN"/>
        </w:rPr>
        <w:t xml:space="preserve">288</w:t>
      </w:r>
      <w:r>
        <w:rPr>
          <w:color w:val="auto"/>
          <w:sz w:val="24"/>
          <w:highlight w:val="none"/>
        </w:rPr>
        <w:t xml:space="preserve">万元</w:t>
      </w:r>
      <w:r/>
    </w:p>
    <w:p>
      <w:pPr>
        <w:ind w:firstLine="480"/>
        <w:keepLines w:val="0"/>
        <w:keepNext w:val="0"/>
        <w:pageBreakBefore w:val="0"/>
        <w:spacing w:line="440" w:lineRule="exact"/>
        <w:widowControl w:val="off"/>
        <w:rPr>
          <w:rFonts w:hint="eastAsia"/>
          <w:color w:val="auto"/>
          <w:sz w:val="24"/>
          <w:highlight w:val="none"/>
        </w:rPr>
      </w:pPr>
      <w:r>
        <w:rPr>
          <w:rFonts w:hint="eastAsia"/>
          <w:color w:val="auto"/>
          <w:sz w:val="24"/>
          <w:highlight w:val="none"/>
          <w:lang w:val="en-US" w:eastAsia="zh-CN"/>
        </w:rPr>
        <w:t xml:space="preserve">最高限价：</w:t>
      </w:r>
      <w:r>
        <w:rPr>
          <w:color w:val="auto"/>
          <w:sz w:val="24"/>
          <w:highlight w:val="none"/>
        </w:rPr>
        <w:t xml:space="preserve">人民币</w:t>
      </w:r>
      <w:r>
        <w:rPr>
          <w:rFonts w:hint="eastAsia"/>
          <w:color w:val="auto"/>
          <w:sz w:val="24"/>
          <w:highlight w:val="none"/>
          <w:lang w:val="en-US" w:eastAsia="zh-CN"/>
        </w:rPr>
        <w:t xml:space="preserve">288</w:t>
      </w:r>
      <w:r>
        <w:rPr>
          <w:color w:val="auto"/>
          <w:sz w:val="24"/>
          <w:highlight w:val="none"/>
        </w:rPr>
        <w:t xml:space="preserve">万元</w:t>
      </w:r>
      <w:r>
        <w:rPr>
          <w:rFonts w:hint="eastAsia"/>
          <w:color w:val="auto"/>
          <w:sz w:val="24"/>
          <w:highlight w:val="none"/>
          <w:lang w:eastAsia="zh-CN"/>
        </w:rPr>
        <w:t xml:space="preserve">，</w:t>
      </w:r>
      <w:r>
        <w:rPr>
          <w:color w:val="auto"/>
          <w:sz w:val="24"/>
          <w:highlight w:val="none"/>
        </w:rPr>
        <w:t xml:space="preserve">报价超过此价格的按无效响应处理</w:t>
      </w:r>
      <w:r>
        <w:rPr>
          <w:rFonts w:hint="eastAsia"/>
          <w:color w:val="auto"/>
          <w:sz w:val="24"/>
          <w:highlight w:val="none"/>
          <w:lang w:eastAsia="zh-CN"/>
        </w:rPr>
        <w:t xml:space="preserve">。（</w:t>
      </w:r>
      <w:r>
        <w:rPr>
          <w:rFonts w:hint="eastAsia" w:ascii="宋体" w:hAnsi="宋体" w:cs="宋体"/>
          <w:color w:val="auto"/>
          <w:sz w:val="24"/>
          <w:szCs w:val="24"/>
          <w:highlight w:val="none"/>
          <w:lang w:val="en-US" w:eastAsia="zh-CN"/>
        </w:rPr>
        <w:t xml:space="preserve">最高</w:t>
      </w:r>
      <w:r>
        <w:rPr>
          <w:rFonts w:hint="eastAsia" w:ascii="宋体" w:hAnsi="宋体" w:eastAsia="宋体" w:cs="宋体"/>
          <w:color w:val="auto"/>
          <w:sz w:val="24"/>
          <w:szCs w:val="24"/>
          <w:highlight w:val="none"/>
          <w:lang w:val="en-US" w:eastAsia="zh-CN"/>
        </w:rPr>
        <w:t xml:space="preserve">单价</w:t>
      </w:r>
      <w:r>
        <w:rPr>
          <w:rFonts w:hint="eastAsia" w:ascii="宋体" w:hAnsi="宋体" w:cs="宋体"/>
          <w:color w:val="auto"/>
          <w:sz w:val="24"/>
          <w:szCs w:val="24"/>
          <w:highlight w:val="none"/>
          <w:lang w:val="en-US" w:eastAsia="zh-CN"/>
        </w:rPr>
        <w:t xml:space="preserve">限价</w:t>
      </w:r>
      <w:r>
        <w:rPr>
          <w:rFonts w:hint="eastAsia" w:ascii="宋体" w:hAnsi="宋体" w:eastAsia="宋体" w:cs="宋体"/>
          <w:color w:val="auto"/>
          <w:sz w:val="24"/>
          <w:szCs w:val="24"/>
          <w:highlight w:val="none"/>
          <w:lang w:val="en-US" w:eastAsia="zh-CN"/>
        </w:rPr>
        <w:t xml:space="preserve">：重度残疾人3300 元/人/月，轻度残疾人1800元/人/月</w:t>
      </w:r>
      <w:r>
        <w:rPr>
          <w:rFonts w:hint="eastAsia" w:ascii="宋体" w:hAnsi="宋体" w:cs="宋体"/>
          <w:color w:val="auto"/>
          <w:sz w:val="24"/>
          <w:szCs w:val="24"/>
          <w:highlight w:val="none"/>
          <w:lang w:val="en-US" w:eastAsia="zh-CN"/>
        </w:rPr>
        <w:t xml:space="preserve">，单价报价超过以上最高</w:t>
      </w:r>
      <w:r>
        <w:rPr>
          <w:rFonts w:hint="eastAsia" w:ascii="宋体" w:hAnsi="宋体" w:eastAsia="宋体" w:cs="宋体"/>
          <w:color w:val="auto"/>
          <w:sz w:val="24"/>
          <w:szCs w:val="24"/>
          <w:highlight w:val="none"/>
          <w:lang w:val="en-US" w:eastAsia="zh-CN"/>
        </w:rPr>
        <w:t xml:space="preserve">单价</w:t>
      </w:r>
      <w:r>
        <w:rPr>
          <w:rFonts w:hint="eastAsia" w:ascii="宋体" w:hAnsi="宋体" w:cs="宋体"/>
          <w:color w:val="auto"/>
          <w:sz w:val="24"/>
          <w:szCs w:val="24"/>
          <w:highlight w:val="none"/>
          <w:lang w:val="en-US" w:eastAsia="zh-CN"/>
        </w:rPr>
        <w:t xml:space="preserve">限价的按无效响应处理。</w:t>
      </w:r>
      <w:r>
        <w:rPr>
          <w:rFonts w:hint="eastAsia"/>
          <w:color w:val="auto"/>
          <w:sz w:val="24"/>
          <w:highlight w:val="none"/>
          <w:lang w:eastAsia="zh-CN"/>
        </w:rPr>
        <w:t xml:space="preserve">）</w:t>
      </w:r>
      <w:r/>
    </w:p>
    <w:p>
      <w:pPr>
        <w:ind w:firstLine="480"/>
        <w:spacing w:line="360" w:lineRule="auto"/>
        <w:rPr>
          <w:rFonts w:hint="eastAsia" w:ascii="宋体" w:hAnsi="宋体"/>
          <w:bCs/>
          <w:color w:val="auto"/>
          <w:sz w:val="24"/>
          <w:highlight w:val="none"/>
        </w:rPr>
      </w:pPr>
      <w:r>
        <w:rPr>
          <w:color w:val="auto"/>
          <w:sz w:val="24"/>
          <w:highlight w:val="none"/>
        </w:rPr>
        <w:t xml:space="preserve">采购需求：</w:t>
      </w:r>
      <w:r>
        <w:rPr>
          <w:rFonts w:hint="eastAsia"/>
          <w:color w:val="auto"/>
          <w:sz w:val="24"/>
          <w:highlight w:val="none"/>
        </w:rPr>
        <w:t xml:space="preserve">为具有灌云县户籍和《中华人民共和国残疾人证》新证</w:t>
      </w:r>
      <w:r>
        <w:rPr>
          <w:rFonts w:hint="eastAsia"/>
          <w:color w:val="auto"/>
          <w:sz w:val="24"/>
          <w:highlight w:val="none"/>
          <w:lang w:eastAsia="zh-CN"/>
        </w:rPr>
        <w:t xml:space="preserve">（</w:t>
      </w:r>
      <w:r>
        <w:rPr>
          <w:rFonts w:hint="eastAsia"/>
          <w:color w:val="auto"/>
          <w:sz w:val="24"/>
          <w:highlight w:val="none"/>
        </w:rPr>
        <w:t xml:space="preserve">第二代</w:t>
      </w:r>
      <w:r>
        <w:rPr>
          <w:rFonts w:hint="eastAsia"/>
          <w:color w:val="auto"/>
          <w:sz w:val="24"/>
          <w:highlight w:val="none"/>
          <w:lang w:eastAsia="zh-CN"/>
        </w:rPr>
        <w:t xml:space="preserve">）</w:t>
      </w:r>
      <w:r>
        <w:rPr>
          <w:rFonts w:hint="eastAsia"/>
          <w:color w:val="auto"/>
          <w:sz w:val="24"/>
          <w:highlight w:val="none"/>
        </w:rPr>
        <w:t xml:space="preserve">，年龄在15-59周岁长期卧床或严重行为障碍的生活明显不能自理、家庭无照护能力的低保家庭、低收入家庭、</w:t>
      </w:r>
      <w:r>
        <w:rPr>
          <w:rFonts w:hint="eastAsia"/>
          <w:color w:val="auto"/>
          <w:sz w:val="24"/>
          <w:highlight w:val="none"/>
          <w:lang w:eastAsia="zh-CN"/>
        </w:rPr>
        <w:t xml:space="preserve">“</w:t>
      </w:r>
      <w:r>
        <w:rPr>
          <w:rFonts w:hint="eastAsia"/>
          <w:color w:val="auto"/>
          <w:sz w:val="24"/>
          <w:highlight w:val="none"/>
        </w:rPr>
        <w:t xml:space="preserve">一户多残</w:t>
      </w:r>
      <w:r>
        <w:rPr>
          <w:rFonts w:hint="eastAsia"/>
          <w:color w:val="auto"/>
          <w:sz w:val="24"/>
          <w:highlight w:val="none"/>
          <w:lang w:eastAsia="zh-CN"/>
        </w:rPr>
        <w:t xml:space="preserve">”</w:t>
      </w:r>
      <w:r>
        <w:rPr>
          <w:rFonts w:hint="eastAsia"/>
          <w:color w:val="auto"/>
          <w:sz w:val="24"/>
          <w:highlight w:val="none"/>
        </w:rPr>
        <w:t xml:space="preserve">家庭、享受“两项补贴”家庭中无固定收入重残生活补贴的智力、精神、肢体残疾人</w:t>
      </w:r>
      <w:r>
        <w:rPr>
          <w:rFonts w:hint="eastAsia"/>
          <w:color w:val="auto"/>
          <w:sz w:val="24"/>
          <w:highlight w:val="none"/>
          <w:lang w:val="en-US" w:eastAsia="zh-CN"/>
        </w:rPr>
        <w:t xml:space="preserve">及</w:t>
      </w:r>
      <w:r>
        <w:rPr>
          <w:rFonts w:hint="eastAsia" w:ascii="宋体" w:hAnsi="宋体" w:cs="宋体"/>
          <w:color w:val="auto"/>
          <w:sz w:val="24"/>
          <w:szCs w:val="24"/>
          <w:highlight w:val="none"/>
          <w:lang w:val="en-US" w:eastAsia="zh-CN"/>
        </w:rPr>
        <w:t xml:space="preserve">有一定行为障碍的具有半自理或自理能力的</w:t>
      </w:r>
      <w:r>
        <w:rPr>
          <w:rFonts w:hint="eastAsia" w:ascii="宋体" w:hAnsi="宋体" w:eastAsia="宋体" w:cs="宋体"/>
          <w:color w:val="auto"/>
          <w:sz w:val="24"/>
          <w:szCs w:val="24"/>
          <w:highlight w:val="none"/>
        </w:rPr>
        <w:t xml:space="preserve">低保家庭、低收入家庭、“一户多残 ”家庭、享受“两项补贴 ”家庭中无固定收入重残生活补贴的</w:t>
      </w:r>
      <w:r>
        <w:rPr>
          <w:rFonts w:hint="eastAsia" w:ascii="宋体" w:hAnsi="宋体" w:cs="宋体"/>
          <w:color w:val="auto"/>
          <w:sz w:val="24"/>
          <w:szCs w:val="24"/>
          <w:highlight w:val="none"/>
          <w:lang w:val="en-US" w:eastAsia="zh-CN"/>
        </w:rPr>
        <w:t xml:space="preserve">无业轻度</w:t>
      </w:r>
      <w:r>
        <w:rPr>
          <w:rFonts w:hint="eastAsia" w:ascii="宋体" w:hAnsi="宋体" w:eastAsia="宋体" w:cs="宋体"/>
          <w:color w:val="auto"/>
          <w:sz w:val="24"/>
          <w:szCs w:val="24"/>
          <w:highlight w:val="none"/>
        </w:rPr>
        <w:t xml:space="preserve">智力、精神</w:t>
      </w:r>
      <w:r>
        <w:rPr>
          <w:rFonts w:hint="eastAsia" w:ascii="宋体" w:hAnsi="宋体" w:cs="宋体"/>
          <w:color w:val="auto"/>
          <w:sz w:val="24"/>
          <w:szCs w:val="24"/>
          <w:highlight w:val="none"/>
          <w:lang w:val="en-US" w:eastAsia="zh-CN"/>
        </w:rPr>
        <w:t xml:space="preserve">和重度</w:t>
      </w:r>
      <w:r>
        <w:rPr>
          <w:rFonts w:hint="eastAsia" w:ascii="宋体" w:hAnsi="宋体" w:eastAsia="宋体" w:cs="宋体"/>
          <w:color w:val="auto"/>
          <w:sz w:val="24"/>
          <w:szCs w:val="24"/>
          <w:highlight w:val="none"/>
        </w:rPr>
        <w:t xml:space="preserve">肢体残疾人</w:t>
      </w:r>
      <w:r>
        <w:rPr>
          <w:rFonts w:hint="eastAsia"/>
          <w:color w:val="auto"/>
          <w:sz w:val="24"/>
          <w:highlight w:val="none"/>
        </w:rPr>
        <w:t xml:space="preserve">提供寄宿制托养服务</w:t>
      </w:r>
      <w:r>
        <w:rPr>
          <w:rFonts w:hint="eastAsia" w:ascii="宋体" w:hAnsi="宋体"/>
          <w:bCs/>
          <w:color w:val="auto"/>
          <w:sz w:val="24"/>
          <w:highlight w:val="none"/>
        </w:rPr>
        <w:t xml:space="preserve">。具体内容详见磋商文件第四章“项目需求”。</w:t>
      </w:r>
      <w:r/>
    </w:p>
    <w:p>
      <w:pPr>
        <w:ind w:firstLine="482"/>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对本项目资格要求、采购需求、评标方法与评标标准等部分的询问、质疑请与采购人</w:t>
      </w:r>
      <w:r>
        <w:rPr>
          <w:rFonts w:hint="eastAsia" w:ascii="Times New Roman" w:hAnsi="Times New Roman" w:eastAsia="宋体" w:cs="Times New Roman"/>
          <w:b/>
          <w:color w:val="auto"/>
          <w:sz w:val="24"/>
          <w:szCs w:val="24"/>
          <w:highlight w:val="none"/>
        </w:rPr>
        <w:t xml:space="preserve">或采购代理机构</w:t>
      </w:r>
      <w:r>
        <w:rPr>
          <w:rFonts w:ascii="Times New Roman" w:hAnsi="Times New Roman" w:eastAsia="宋体" w:cs="Times New Roman"/>
          <w:b/>
          <w:color w:val="auto"/>
          <w:sz w:val="24"/>
          <w:szCs w:val="24"/>
          <w:highlight w:val="none"/>
        </w:rPr>
        <w:t xml:space="preserve">联系，由采购人或采购代理机构负责答复。</w:t>
      </w:r>
      <w:r/>
    </w:p>
    <w:p>
      <w:pPr>
        <w:ind w:firstLine="480"/>
        <w:spacing w:line="360" w:lineRule="auto"/>
        <w:rPr>
          <w:color w:val="auto"/>
          <w:sz w:val="24"/>
          <w:highlight w:val="none"/>
        </w:rPr>
      </w:pPr>
      <w:r>
        <w:rPr>
          <w:rFonts w:hint="eastAsia"/>
          <w:color w:val="auto"/>
          <w:sz w:val="24"/>
          <w:highlight w:val="none"/>
        </w:rPr>
        <w:t xml:space="preserve">合同履行期限：</w:t>
      </w:r>
      <w:r>
        <w:rPr>
          <w:rFonts w:hint="eastAsia"/>
          <w:color w:val="auto"/>
          <w:sz w:val="24"/>
          <w:highlight w:val="none"/>
          <w:lang w:val="en-US" w:eastAsia="zh-CN"/>
        </w:rPr>
        <w:t xml:space="preserve">1年</w:t>
      </w:r>
      <w:r>
        <w:rPr>
          <w:rFonts w:hint="eastAsia" w:ascii="宋体" w:hAnsi="宋体" w:eastAsia="宋体" w:cs="宋体"/>
          <w:color w:val="auto"/>
          <w:sz w:val="24"/>
          <w:szCs w:val="24"/>
          <w:highlight w:val="none"/>
          <w:lang w:val="en-US" w:eastAsia="zh-CN"/>
        </w:rPr>
        <w:t xml:space="preserve">（自服务对象实际入托之日起计算）</w:t>
      </w:r>
      <w:r>
        <w:rPr>
          <w:rFonts w:hint="eastAsia"/>
          <w:color w:val="auto"/>
          <w:sz w:val="24"/>
          <w:highlight w:val="none"/>
        </w:rPr>
        <w:t xml:space="preserve">。</w:t>
      </w:r>
      <w:r/>
    </w:p>
    <w:p>
      <w:pPr>
        <w:ind w:firstLine="480"/>
        <w:jc w:val="left"/>
        <w:spacing w:line="360" w:lineRule="auto"/>
        <w:widowControl/>
        <w:rPr>
          <w:rFonts w:hint="eastAsia"/>
          <w:color w:val="auto"/>
          <w:sz w:val="24"/>
          <w:highlight w:val="none"/>
        </w:rPr>
      </w:pPr>
      <w:r>
        <w:rPr>
          <w:rFonts w:hint="eastAsia"/>
          <w:color w:val="auto"/>
          <w:sz w:val="24"/>
          <w:highlight w:val="none"/>
        </w:rPr>
        <w:t xml:space="preserve">本项目不接受联合体投标。</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二、申请人的资格要求</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（一）满足《中华人民共和国政府采购法》第二十二条规定，并提供下列材料：</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1.法人或者其他组织的营业执照等证明文件，自然人的身份证明；</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2.上一年度的财务状况报告（成立不满一年无需提供）；</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3.依法缴纳税收和社会保障资金的相关材料（提供提交</w:t>
      </w:r>
      <w:r>
        <w:rPr>
          <w:rFonts w:hint="eastAsia" w:cs="Times New Roman"/>
          <w:color w:val="auto"/>
          <w:sz w:val="24"/>
          <w:szCs w:val="24"/>
          <w:highlight w:val="none"/>
          <w:lang w:val="en-US" w:eastAsia="zh-CN"/>
        </w:rPr>
        <w:t xml:space="preserve">响应</w:t>
      </w:r>
      <w:r>
        <w:rPr>
          <w:rFonts w:ascii="Times New Roman" w:hAnsi="Times New Roman" w:eastAsia="宋体" w:cs="Times New Roman"/>
          <w:color w:val="auto"/>
          <w:sz w:val="24"/>
          <w:szCs w:val="24"/>
          <w:highlight w:val="none"/>
        </w:rPr>
        <w:t xml:space="preserve">文件截止时间前一年内至少一个月依法缴纳税收及缴纳社会保障资金的证明材料，</w:t>
      </w:r>
      <w:r>
        <w:rPr>
          <w:rFonts w:hint="eastAsia" w:cs="Times New Roman"/>
          <w:color w:val="auto"/>
          <w:sz w:val="24"/>
          <w:szCs w:val="24"/>
          <w:highlight w:val="none"/>
          <w:lang w:val="en-US" w:eastAsia="zh-CN"/>
        </w:rPr>
        <w:t xml:space="preserve">供应商</w:t>
      </w:r>
      <w:r>
        <w:rPr>
          <w:rFonts w:ascii="Times New Roman" w:hAnsi="Times New Roman" w:eastAsia="宋体" w:cs="Times New Roman"/>
          <w:color w:val="auto"/>
          <w:sz w:val="24"/>
          <w:szCs w:val="24"/>
          <w:highlight w:val="none"/>
        </w:rPr>
        <w:t xml:space="preserve">依法享受缓缴、免缴税收、社会保障资金的提供证明材料）；</w:t>
      </w:r>
      <w:r/>
    </w:p>
    <w:p>
      <w:pPr>
        <w:ind w:firstLine="482"/>
        <w:pageBreakBefore w:val="0"/>
        <w:spacing w:line="360" w:lineRule="auto"/>
        <w:widowControl w:val="off"/>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根据连财购〔2023〕4号文件精神，2、3项可以提供《财务状况报告及税收、社会保障资金缴纳情况承诺函》，详见</w:t>
      </w:r>
      <w:r>
        <w:rPr>
          <w:rFonts w:hint="eastAsia" w:cs="Times New Roman"/>
          <w:b/>
          <w:color w:val="auto"/>
          <w:sz w:val="24"/>
          <w:szCs w:val="24"/>
          <w:highlight w:val="none"/>
          <w:lang w:val="en-US" w:eastAsia="zh-CN"/>
        </w:rPr>
        <w:t xml:space="preserve">响应</w:t>
      </w:r>
      <w:r>
        <w:rPr>
          <w:rFonts w:ascii="Times New Roman" w:hAnsi="Times New Roman" w:eastAsia="宋体" w:cs="Times New Roman"/>
          <w:b/>
          <w:color w:val="auto"/>
          <w:sz w:val="24"/>
          <w:szCs w:val="24"/>
          <w:highlight w:val="none"/>
        </w:rPr>
        <w:t xml:space="preserve">文件格式。</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4.具备履行合同所必需的设备和专业技术能力的声明及证明材料；</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5.参加政府采购活动前3年内在经营活动中没有重大违法记录的书面声明。</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（二）落实政府采购政策需满足的资格要求：</w:t>
      </w:r>
      <w:r>
        <w:rPr>
          <w:rFonts w:hint="eastAsia" w:asciiTheme="minorEastAsia" w:hAnsiTheme="minorEastAsia"/>
          <w:color w:val="auto"/>
          <w:sz w:val="24"/>
          <w:highlight w:val="none"/>
          <w:lang w:val="en-US" w:eastAsia="zh-CN"/>
        </w:rPr>
        <w:t xml:space="preserve">无。</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（三）本项目的特定资格要求：</w:t>
      </w:r>
      <w:r>
        <w:rPr>
          <w:rFonts w:hint="eastAsia" w:ascii="Times New Roman" w:hAnsi="Times New Roman" w:eastAsia="宋体" w:cs="Times New Roman"/>
          <w:color w:val="auto"/>
          <w:sz w:val="24"/>
          <w:szCs w:val="24"/>
          <w:highlight w:val="none"/>
        </w:rPr>
        <w:t xml:space="preserve">无</w:t>
      </w:r>
      <w:r>
        <w:rPr>
          <w:rFonts w:ascii="Times New Roman" w:hAnsi="Times New Roman" w:eastAsia="宋体" w:cs="Times New Roman"/>
          <w:color w:val="auto"/>
          <w:sz w:val="24"/>
          <w:szCs w:val="24"/>
          <w:highlight w:val="none"/>
        </w:rPr>
        <w:t xml:space="preserve">。</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四</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本项目的其他资格要求</w:t>
      </w:r>
      <w:r>
        <w:rPr>
          <w:rFonts w:ascii="Times New Roman" w:hAnsi="Times New Roman" w:eastAsia="宋体" w:cs="Times New Roman"/>
          <w:color w:val="auto"/>
          <w:sz w:val="24"/>
          <w:szCs w:val="24"/>
          <w:highlight w:val="none"/>
        </w:rPr>
        <w:t xml:space="preserve">：</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（1）响应文件递交截止前，被信用中国、中国政府采购网列入失信被执行人、重大税收违法案件当事人名单、政府采购严重违法失信行为记录名单的供应商，拒绝其参与政府采购活动。</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备注：采购人或采购代理机构通过信用中国网站（www.creditchina.gov.cn）、中国政府采购网（www.ccgp.gov.cn），对投标人信用记录情况进行查询，</w:t>
      </w:r>
      <w:r>
        <w:rPr>
          <w:rFonts w:hint="eastAsia" w:ascii="Times New Roman" w:hAnsi="Times New Roman" w:eastAsia="宋体" w:cs="Times New Roman"/>
          <w:b/>
          <w:bCs/>
          <w:color w:val="auto"/>
          <w:sz w:val="24"/>
          <w:szCs w:val="24"/>
          <w:highlight w:val="none"/>
        </w:rPr>
        <w:t xml:space="preserve">查询结果页面打印留存。</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本项目成交后允许分包。</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eastAsia="zh-CN"/>
        </w:rPr>
        <w:t xml:space="preserve">）法律法规规定的其他条件。</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三、获取</w:t>
      </w:r>
      <w:r>
        <w:rPr>
          <w:rFonts w:hint="eastAsia" w:ascii="Arial" w:hAnsi="Arial" w:eastAsia="宋体" w:cs="Times New Roman"/>
          <w:color w:val="auto"/>
          <w:sz w:val="28"/>
          <w:szCs w:val="28"/>
          <w:highlight w:val="none"/>
          <w:lang w:val="en-US" w:eastAsia="zh-CN"/>
        </w:rPr>
        <w:t xml:space="preserve">磋商</w:t>
      </w:r>
      <w:r>
        <w:rPr>
          <w:rFonts w:ascii="Arial" w:hAnsi="Arial" w:eastAsia="宋体" w:cs="Times New Roman"/>
          <w:color w:val="auto"/>
          <w:sz w:val="28"/>
          <w:szCs w:val="28"/>
          <w:highlight w:val="none"/>
        </w:rPr>
        <w:t xml:space="preserve">文件</w:t>
      </w:r>
      <w:r/>
    </w:p>
    <w:p>
      <w:pPr>
        <w:ind w:firstLine="480"/>
        <w:spacing w:line="360" w:lineRule="auto"/>
        <w:rPr>
          <w:color w:val="auto"/>
          <w:sz w:val="24"/>
          <w:highlight w:val="none"/>
        </w:rPr>
      </w:pPr>
      <w:r>
        <w:rPr>
          <w:rFonts w:hint="eastAsia" w:asciiTheme="minorEastAsia" w:hAnsiTheme="minorEastAsia"/>
          <w:color w:val="auto"/>
          <w:sz w:val="24"/>
          <w:highlight w:val="none"/>
          <w:lang w:val="en-US" w:eastAsia="zh-CN"/>
        </w:rPr>
        <w:t xml:space="preserve">1.</w:t>
      </w:r>
      <w:r>
        <w:rPr>
          <w:rFonts w:hint="eastAsia" w:asciiTheme="minorEastAsia" w:hAnsiTheme="minorEastAsia"/>
          <w:color w:val="auto"/>
          <w:sz w:val="24"/>
          <w:highlight w:val="none"/>
        </w:rPr>
        <w:t xml:space="preserve">时间：</w:t>
      </w:r>
      <w:r>
        <w:rPr>
          <w:rFonts w:hint="eastAsia"/>
          <w:color w:val="auto"/>
          <w:sz w:val="24"/>
          <w:highlight w:val="none"/>
        </w:rPr>
        <w:t xml:space="preserve">自磋商文件公告发布之日起5个工作日</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2.方式：在“江苏政府采购网”自行免费下载</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文件。潜在供应商访问电子招标投标交易平台的网络地址和方法：</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①登录http://jszfcg.jsczt.cn/ ，或进入江苏政府采购网，点击“苏采云”进入系统。</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文件。具体见《江苏省政府采购管理交易系统(苏采云)供应商操作手册》。</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③潜在供应商访问“苏采云”系统的网络地址和方法:“苏采云”系统的网址:http://jszfcg.jsczt.cn/。</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⑤采购文件(后缀名为“.kedt”)、供应商操作手册及政府采购客户端工具可通过“苏采云”系统--已报名项目--报名详情页面内相应链接进行下载。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⑥招标代理机构(采购代理机构)将数据电文形式的采购文件加载至“苏采云”系统，供潜在供应商下载或者查阅。</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⑦请潜在</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提前安装相应的控件(详见《江苏省政府采购管理交易系统(苏采云)供应商操作手册&gt;)并使用谷歌浏览器登录“苏采云”系统参与不见面开评标。</w:t>
      </w:r>
      <w:r/>
    </w:p>
    <w:p>
      <w:pPr>
        <w:ind w:firstLine="480"/>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注:如潜在供应商未按上述要求操作，将自行承担所产生的风险。</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四、提交</w:t>
      </w:r>
      <w:r>
        <w:rPr>
          <w:rFonts w:hint="eastAsia" w:ascii="Arial" w:hAnsi="Arial" w:eastAsia="宋体" w:cs="Times New Roman"/>
          <w:color w:val="auto"/>
          <w:sz w:val="28"/>
          <w:szCs w:val="28"/>
          <w:highlight w:val="none"/>
          <w:lang w:val="en-US" w:eastAsia="zh-CN"/>
        </w:rPr>
        <w:t xml:space="preserve">响应</w:t>
      </w:r>
      <w:r>
        <w:rPr>
          <w:rFonts w:ascii="Arial" w:hAnsi="Arial" w:eastAsia="宋体" w:cs="Times New Roman"/>
          <w:color w:val="auto"/>
          <w:sz w:val="28"/>
          <w:szCs w:val="28"/>
          <w:highlight w:val="none"/>
        </w:rPr>
        <w:t xml:space="preserve">文件截止时间、开标时间和地点</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1.</w:t>
      </w:r>
      <w:r>
        <w:rPr>
          <w:rFonts w:ascii="Times New Roman" w:hAnsi="Times New Roman" w:eastAsia="宋体" w:cs="Times New Roman"/>
          <w:color w:val="auto"/>
          <w:sz w:val="24"/>
          <w:szCs w:val="24"/>
          <w:highlight w:val="none"/>
        </w:rPr>
        <w:t xml:space="preserve">提交</w:t>
      </w:r>
      <w:r>
        <w:rPr>
          <w:rFonts w:hint="eastAsia" w:cs="Times New Roman"/>
          <w:color w:val="auto"/>
          <w:sz w:val="24"/>
          <w:szCs w:val="24"/>
          <w:highlight w:val="none"/>
          <w:lang w:val="en-US" w:eastAsia="zh-CN"/>
        </w:rPr>
        <w:t xml:space="preserve">响应</w:t>
      </w:r>
      <w:r>
        <w:rPr>
          <w:rFonts w:ascii="Times New Roman" w:hAnsi="Times New Roman" w:eastAsia="宋体" w:cs="Times New Roman"/>
          <w:color w:val="auto"/>
          <w:sz w:val="24"/>
          <w:szCs w:val="24"/>
          <w:highlight w:val="none"/>
        </w:rPr>
        <w:t xml:space="preserve">文件截止时间：202</w:t>
      </w:r>
      <w:r>
        <w:rPr>
          <w:rFonts w:hint="eastAsia" w:ascii="Times New Roman" w:hAnsi="Times New Roman" w:eastAsia="宋体" w:cs="Times New Roman"/>
          <w:color w:val="auto"/>
          <w:sz w:val="24"/>
          <w:szCs w:val="24"/>
          <w:highlight w:val="none"/>
        </w:rPr>
        <w:t xml:space="preserve">6</w:t>
      </w:r>
      <w:r>
        <w:rPr>
          <w:rFonts w:ascii="Times New Roman" w:hAnsi="Times New Roman" w:eastAsia="宋体" w:cs="Times New Roman"/>
          <w:color w:val="auto"/>
          <w:sz w:val="24"/>
          <w:szCs w:val="24"/>
          <w:highlight w:val="none"/>
        </w:rPr>
        <w:t xml:space="preserve">年</w:t>
      </w:r>
      <w:r>
        <w:rPr>
          <w:rFonts w:hint="eastAsia" w:cs="Times New Roman"/>
          <w:color w:val="auto"/>
          <w:sz w:val="24"/>
          <w:szCs w:val="24"/>
          <w:highlight w:val="none"/>
          <w:lang w:val="en-US" w:eastAsia="zh-CN"/>
        </w:rPr>
        <w:t xml:space="preserve">7</w:t>
      </w:r>
      <w:r>
        <w:rPr>
          <w:rFonts w:ascii="Times New Roman" w:hAnsi="Times New Roman" w:eastAsia="宋体" w:cs="Times New Roman"/>
          <w:color w:val="auto"/>
          <w:sz w:val="24"/>
          <w:szCs w:val="24"/>
          <w:highlight w:val="none"/>
        </w:rPr>
        <w:t xml:space="preserve">月21</w:t>
      </w:r>
      <w:r>
        <w:rPr>
          <w:rFonts w:ascii="Times New Roman" w:hAnsi="Times New Roman" w:eastAsia="宋体" w:cs="Times New Roman"/>
          <w:color w:val="auto"/>
          <w:sz w:val="24"/>
          <w:szCs w:val="24"/>
          <w:highlight w:val="none"/>
        </w:rPr>
        <w:t xml:space="preserve">日</w:t>
      </w:r>
      <w:r>
        <w:rPr>
          <w:rFonts w:hint="eastAsia" w:cs="Times New Roman"/>
          <w:color w:val="auto"/>
          <w:sz w:val="24"/>
          <w:szCs w:val="24"/>
          <w:highlight w:val="none"/>
          <w:lang w:val="en-US" w:eastAsia="zh-CN"/>
        </w:rPr>
        <w:t xml:space="preserve">10</w:t>
      </w:r>
      <w:r>
        <w:rPr>
          <w:rFonts w:ascii="Times New Roman" w:hAnsi="Times New Roman" w:eastAsia="宋体" w:cs="Times New Roman"/>
          <w:color w:val="auto"/>
          <w:sz w:val="24"/>
          <w:szCs w:val="24"/>
          <w:highlight w:val="none"/>
        </w:rPr>
        <w:t xml:space="preserve">:00:00（北京时间）</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2.</w:t>
      </w:r>
      <w:r>
        <w:rPr>
          <w:rFonts w:ascii="Times New Roman" w:hAnsi="Times New Roman" w:eastAsia="宋体" w:cs="Times New Roman"/>
          <w:color w:val="auto"/>
          <w:sz w:val="24"/>
          <w:szCs w:val="24"/>
          <w:highlight w:val="none"/>
        </w:rPr>
        <w:t xml:space="preserve">开标时间：202</w:t>
      </w:r>
      <w:r>
        <w:rPr>
          <w:rFonts w:hint="eastAsia" w:ascii="Times New Roman" w:hAnsi="Times New Roman" w:eastAsia="宋体" w:cs="Times New Roman"/>
          <w:color w:val="auto"/>
          <w:sz w:val="24"/>
          <w:szCs w:val="24"/>
          <w:highlight w:val="none"/>
        </w:rPr>
        <w:t xml:space="preserve">6</w:t>
      </w:r>
      <w:r>
        <w:rPr>
          <w:rFonts w:ascii="Times New Roman" w:hAnsi="Times New Roman" w:eastAsia="宋体" w:cs="Times New Roman"/>
          <w:color w:val="auto"/>
          <w:sz w:val="24"/>
          <w:szCs w:val="24"/>
          <w:highlight w:val="none"/>
        </w:rPr>
        <w:t xml:space="preserve">年</w:t>
      </w:r>
      <w:r>
        <w:rPr>
          <w:rFonts w:hint="eastAsia" w:cs="Times New Roman"/>
          <w:color w:val="auto"/>
          <w:sz w:val="24"/>
          <w:szCs w:val="24"/>
          <w:highlight w:val="none"/>
          <w:lang w:val="en-US" w:eastAsia="zh-CN"/>
        </w:rPr>
        <w:t xml:space="preserve">7</w:t>
      </w:r>
      <w:r>
        <w:rPr>
          <w:rFonts w:ascii="Times New Roman" w:hAnsi="Times New Roman" w:eastAsia="宋体" w:cs="Times New Roman"/>
          <w:color w:val="auto"/>
          <w:sz w:val="24"/>
          <w:szCs w:val="24"/>
          <w:highlight w:val="none"/>
        </w:rPr>
        <w:t xml:space="preserve">月</w:t>
      </w:r>
      <w:r>
        <w:rPr>
          <w:rFonts w:hint="eastAsia" w:cs="Times New Roman"/>
          <w:color w:val="auto"/>
          <w:sz w:val="24"/>
          <w:szCs w:val="24"/>
          <w:highlight w:val="none"/>
          <w:lang w:val="en-US" w:eastAsia="zh-CN"/>
        </w:rPr>
        <w:t xml:space="preserve">21</w:t>
      </w:r>
      <w:r>
        <w:rPr>
          <w:rFonts w:ascii="Times New Roman" w:hAnsi="Times New Roman" w:eastAsia="宋体" w:cs="Times New Roman"/>
          <w:color w:val="auto"/>
          <w:sz w:val="24"/>
          <w:szCs w:val="24"/>
          <w:highlight w:val="none"/>
        </w:rPr>
        <w:t xml:space="preserve">日</w:t>
      </w:r>
      <w:r>
        <w:rPr>
          <w:rFonts w:hint="eastAsia" w:cs="Times New Roman"/>
          <w:color w:val="auto"/>
          <w:sz w:val="24"/>
          <w:szCs w:val="24"/>
          <w:highlight w:val="none"/>
          <w:lang w:val="en-US" w:eastAsia="zh-CN"/>
        </w:rPr>
        <w:t xml:space="preserve">10</w:t>
      </w:r>
      <w:r>
        <w:rPr>
          <w:rFonts w:ascii="Times New Roman" w:hAnsi="Times New Roman" w:eastAsia="宋体" w:cs="Times New Roman"/>
          <w:color w:val="auto"/>
          <w:sz w:val="24"/>
          <w:szCs w:val="24"/>
          <w:highlight w:val="none"/>
        </w:rPr>
        <w:t xml:space="preserve">:00:00（北京时间）</w:t>
      </w:r>
      <w:r/>
    </w:p>
    <w:p>
      <w:pPr>
        <w:ind w:firstLine="480"/>
        <w:pageBreakBefore w:val="0"/>
        <w:spacing w:line="360" w:lineRule="auto"/>
        <w:widowControl w:val="off"/>
        <w:rPr>
          <w:bCs/>
          <w:color w:val="auto"/>
          <w:sz w:val="24"/>
          <w:highlight w:val="none"/>
        </w:rPr>
      </w:pPr>
      <w:r>
        <w:rPr>
          <w:rFonts w:hint="eastAsia"/>
          <w:bCs/>
          <w:color w:val="auto"/>
          <w:sz w:val="24"/>
          <w:highlight w:val="none"/>
          <w:lang w:val="en-US" w:eastAsia="zh-CN"/>
        </w:rPr>
        <w:t xml:space="preserve">3.</w:t>
      </w:r>
      <w:r>
        <w:rPr>
          <w:bCs/>
          <w:color w:val="auto"/>
          <w:sz w:val="24"/>
          <w:highlight w:val="none"/>
        </w:rPr>
        <w:t xml:space="preserve">地点：“苏采云”政府采购交易系统网上开标大厅。</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五、公告期限</w:t>
      </w:r>
      <w:r/>
    </w:p>
    <w:p>
      <w:pPr>
        <w:ind w:firstLine="480"/>
        <w:pageBreakBefore w:val="0"/>
        <w:spacing w:line="360" w:lineRule="auto"/>
        <w:widowControl w:val="off"/>
        <w:rPr>
          <w:rFonts w:hint="eastAsia" w:asciiTheme="minorEastAsia" w:hAnsiTheme="minorEastAsia" w:eastAsiaTheme="minorEastAsia" w:cstheme="minorEastAsia"/>
          <w:bCs/>
          <w:color w:val="auto"/>
          <w:sz w:val="24"/>
          <w:highlight w:val="none"/>
        </w:rPr>
      </w:pPr>
      <w:r/>
      <w:bookmarkStart w:id="19" w:name="_Toc35393626"/>
      <w:r/>
      <w:bookmarkStart w:id="20" w:name="_Toc35393795"/>
      <w:r/>
      <w:bookmarkStart w:id="21" w:name="_Toc38985268"/>
      <w:r>
        <w:rPr>
          <w:rFonts w:hint="eastAsia" w:asciiTheme="minorEastAsia" w:hAnsiTheme="minorEastAsia" w:eastAsiaTheme="minorEastAsia" w:cstheme="minorEastAsia"/>
          <w:bCs/>
          <w:color w:val="auto"/>
          <w:sz w:val="24"/>
          <w:highlight w:val="none"/>
        </w:rPr>
        <w:t xml:space="preserve">自本公告发布之日起5个工作日</w:t>
      </w:r>
      <w:bookmarkEnd w:id="19"/>
      <w:r/>
      <w:bookmarkEnd w:id="20"/>
      <w:r/>
      <w:bookmarkEnd w:id="21"/>
      <w:r>
        <w:rPr>
          <w:rFonts w:hint="eastAsia" w:asciiTheme="minorEastAsia" w:hAnsiTheme="minorEastAsia" w:eastAsiaTheme="minorEastAsia" w:cstheme="minorEastAsia"/>
          <w:bCs/>
          <w:color w:val="auto"/>
          <w:sz w:val="24"/>
          <w:highlight w:val="none"/>
        </w:rPr>
        <w:t xml:space="preserve">；</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六、其他补充事宜</w:t>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1.本次磋商采购不收取保证金。</w:t>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2.本磋商文件中标注★的款项为实质性响应要求和条件，如不满足将按无效响应文件处理。</w:t>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bCs/>
          <w:color w:val="auto"/>
          <w:sz w:val="24"/>
          <w:highlight w:val="none"/>
          <w:lang w:val="en-US" w:eastAsia="zh-CN"/>
        </w:rPr>
        <w:t xml:space="preserve">3.本项目采购方式为竞争性磋商，评审过程中依次有磋商环节和二次（最后）报价独立环节。供应商须在解锁完成后及时关注开标大厅，等待后续多次报价、答疑澄清等提示，评审过程中不再另行通知。如供应商因自身原因错过相应环节，造成非实质性响应，责任自负。</w:t>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cstheme="minorEastAsia"/>
          <w:b w:val="0"/>
          <w:bCs w:val="0"/>
          <w:color w:val="auto"/>
          <w:sz w:val="24"/>
          <w:highlight w:val="none"/>
          <w:lang w:val="en-US" w:eastAsia="zh-CN"/>
        </w:rPr>
        <w:t xml:space="preserve">4</w:t>
      </w:r>
      <w:r>
        <w:rPr>
          <w:rFonts w:hint="eastAsia" w:asciiTheme="minorEastAsia" w:hAnsiTheme="minorEastAsia" w:eastAsiaTheme="minorEastAsia" w:cstheme="minorEastAsia"/>
          <w:b w:val="0"/>
          <w:bCs w:val="0"/>
          <w:color w:val="auto"/>
          <w:sz w:val="24"/>
          <w:highlight w:val="none"/>
          <w:lang w:val="en-US" w:eastAsia="zh-CN"/>
        </w:rPr>
        <w:t xml:space="preserve">.</w:t>
      </w:r>
      <w:r>
        <w:rPr>
          <w:rFonts w:hint="eastAsia" w:ascii="宋体" w:hAnsi="宋体" w:cs="宋体"/>
          <w:color w:val="auto"/>
          <w:sz w:val="24"/>
          <w:highlight w:val="none"/>
        </w:rPr>
        <w:t xml:space="preserve">无论出于何种原因，采购人在采购活动开始前可对采购文件进行修改、补充或变更，其内容作为采购文件的重要组成部分，请各供应商关</w:t>
      </w:r>
      <w:r>
        <w:rPr>
          <w:rFonts w:hint="eastAsia" w:ascii="宋体" w:hAnsi="宋体" w:cs="宋体"/>
          <w:b w:val="0"/>
          <w:bCs w:val="0"/>
          <w:color w:val="auto"/>
          <w:sz w:val="24"/>
          <w:highlight w:val="none"/>
        </w:rPr>
        <w:t xml:space="preserve">注江苏政府采购网</w:t>
      </w:r>
      <w:r>
        <w:rPr>
          <w:rFonts w:hint="eastAsia" w:ascii="宋体" w:hAnsi="宋体" w:cs="宋体"/>
          <w:color w:val="auto"/>
          <w:sz w:val="24"/>
          <w:highlight w:val="none"/>
        </w:rPr>
        <w:t xml:space="preserve">。若因供应商自身原因未及时关注本项目有关修改、补充或变更信息，导致响应文件编制或提交失误，由此造成的一切损失由供应商自行承担。</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七、对本次招标提出询问，请按以下方式联系</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1.采购人信息</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名称：</w:t>
      </w:r>
      <w:r>
        <w:rPr>
          <w:rFonts w:hint="eastAsia" w:cs="Times New Roman"/>
          <w:color w:val="auto"/>
          <w:sz w:val="24"/>
          <w:szCs w:val="24"/>
          <w:highlight w:val="none"/>
          <w:lang w:eastAsia="zh-CN"/>
        </w:rPr>
        <w:t xml:space="preserve">灌云县残疾人联合会</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连云港市灌云县新镇北路8号</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联系人：</w:t>
      </w:r>
      <w:r>
        <w:rPr>
          <w:rFonts w:hint="eastAsia" w:cs="Times New Roman"/>
          <w:color w:val="auto"/>
          <w:sz w:val="24"/>
          <w:szCs w:val="24"/>
          <w:highlight w:val="none"/>
          <w:lang w:val="en-US" w:eastAsia="zh-CN"/>
        </w:rPr>
        <w:t xml:space="preserve">耿主任</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联系电话：</w:t>
      </w:r>
      <w:r>
        <w:rPr>
          <w:rFonts w:hint="eastAsia" w:cs="Times New Roman"/>
          <w:color w:val="auto"/>
          <w:sz w:val="24"/>
          <w:szCs w:val="24"/>
          <w:highlight w:val="none"/>
          <w:lang w:val="en-US" w:eastAsia="zh-CN"/>
        </w:rPr>
        <w:t xml:space="preserve">0518-80706206</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2.采购代理机构信息</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名称：</w:t>
      </w:r>
      <w:r>
        <w:rPr>
          <w:rFonts w:hint="eastAsia" w:cs="Times New Roman"/>
          <w:color w:val="auto"/>
          <w:sz w:val="24"/>
          <w:szCs w:val="24"/>
          <w:highlight w:val="none"/>
          <w:lang w:eastAsia="zh-CN"/>
        </w:rPr>
        <w:t xml:space="preserve">连云港中梁工程咨询有限公司</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地址：</w:t>
      </w:r>
      <w:r>
        <w:rPr>
          <w:rFonts w:hint="eastAsia" w:ascii="Times New Roman" w:hAnsi="Times New Roman" w:eastAsia="宋体" w:cs="Times New Roman"/>
          <w:color w:val="auto"/>
          <w:sz w:val="24"/>
          <w:szCs w:val="24"/>
          <w:highlight w:val="none"/>
          <w:lang w:val="en-US" w:eastAsia="zh-CN"/>
        </w:rPr>
        <w:t xml:space="preserve">连云港市海州区朝阳东路36号凤凰大厦14楼</w:t>
      </w:r>
      <w:r/>
    </w:p>
    <w:p>
      <w:pPr>
        <w:ind w:firstLine="480"/>
        <w:pageBreakBefore w:val="0"/>
        <w:spacing w:line="360" w:lineRule="auto"/>
        <w:widowControl w:val="off"/>
        <w:rPr>
          <w:rFonts w:hint="eastAsia" w:ascii="Times New Roman" w:hAnsi="Times New Roman" w:eastAsia="宋体" w:cs="宋体"/>
          <w:color w:val="auto"/>
          <w:sz w:val="24"/>
          <w:szCs w:val="24"/>
          <w:highlight w:val="none"/>
          <w:lang w:eastAsia="zh-CN"/>
        </w:rPr>
      </w:pPr>
      <w:r>
        <w:rPr>
          <w:rFonts w:ascii="Times New Roman" w:hAnsi="Times New Roman" w:eastAsia="宋体" w:cs="Times New Roman"/>
          <w:color w:val="auto"/>
          <w:sz w:val="24"/>
          <w:szCs w:val="24"/>
          <w:highlight w:val="none"/>
        </w:rPr>
        <w:t xml:space="preserve">联系方式：</w:t>
      </w:r>
      <w:r>
        <w:rPr>
          <w:rFonts w:hint="eastAsia" w:cs="宋体"/>
          <w:color w:val="auto"/>
          <w:sz w:val="24"/>
          <w:szCs w:val="24"/>
          <w:highlight w:val="none"/>
          <w:lang w:val="en-US" w:eastAsia="zh-CN"/>
        </w:rPr>
        <w:t xml:space="preserve">张</w:t>
      </w:r>
      <w:r>
        <w:rPr>
          <w:rFonts w:hint="eastAsia" w:ascii="Times New Roman" w:hAnsi="Times New Roman" w:eastAsia="宋体" w:cs="宋体"/>
          <w:color w:val="auto"/>
          <w:sz w:val="24"/>
          <w:szCs w:val="24"/>
          <w:highlight w:val="none"/>
          <w:lang w:eastAsia="zh-CN"/>
        </w:rPr>
        <w:t xml:space="preserve">工</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联系电话：</w:t>
      </w:r>
      <w:r>
        <w:rPr>
          <w:rFonts w:hint="eastAsia" w:ascii="宋体" w:hAnsi="宋体" w:eastAsia="宋体" w:cs="宋体"/>
          <w:color w:val="auto"/>
          <w:sz w:val="24"/>
          <w:szCs w:val="32"/>
          <w:highlight w:val="none"/>
        </w:rPr>
        <w:t xml:space="preserve">15394647986</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3.项目联系方式</w:t>
      </w:r>
      <w:r/>
    </w:p>
    <w:p>
      <w:pPr>
        <w:ind w:firstLine="480"/>
        <w:pageBreakBefore w:val="0"/>
        <w:spacing w:line="360" w:lineRule="auto"/>
        <w:widowControl w:val="off"/>
        <w:rPr>
          <w:rFonts w:hint="eastAsia" w:ascii="Times New Roman" w:hAnsi="Times New Roman" w:eastAsia="宋体" w:cs="宋体"/>
          <w:color w:val="auto"/>
          <w:sz w:val="24"/>
          <w:szCs w:val="24"/>
          <w:highlight w:val="none"/>
          <w:lang w:eastAsia="zh-CN"/>
        </w:rPr>
      </w:pPr>
      <w:r>
        <w:rPr>
          <w:rFonts w:ascii="Times New Roman" w:hAnsi="Times New Roman" w:eastAsia="宋体" w:cs="Times New Roman"/>
          <w:color w:val="auto"/>
          <w:sz w:val="24"/>
          <w:szCs w:val="24"/>
          <w:highlight w:val="none"/>
        </w:rPr>
        <w:t xml:space="preserve">项目联系人：</w:t>
      </w:r>
      <w:r>
        <w:rPr>
          <w:rFonts w:hint="eastAsia" w:cs="宋体"/>
          <w:color w:val="auto"/>
          <w:sz w:val="24"/>
          <w:szCs w:val="24"/>
          <w:highlight w:val="none"/>
          <w:lang w:val="en-US" w:eastAsia="zh-CN"/>
        </w:rPr>
        <w:t xml:space="preserve">张</w:t>
      </w:r>
      <w:r>
        <w:rPr>
          <w:rFonts w:hint="eastAsia" w:ascii="Times New Roman" w:hAnsi="Times New Roman" w:eastAsia="宋体" w:cs="宋体"/>
          <w:color w:val="auto"/>
          <w:sz w:val="24"/>
          <w:szCs w:val="24"/>
          <w:highlight w:val="none"/>
          <w:lang w:eastAsia="zh-CN"/>
        </w:rPr>
        <w:t xml:space="preserve">工</w:t>
      </w:r>
      <w:r/>
    </w:p>
    <w:p>
      <w:pPr>
        <w:ind w:firstLine="480"/>
        <w:pageBreakBefore w:val="0"/>
        <w:spacing w:line="360" w:lineRule="auto"/>
        <w:widowControl w:val="off"/>
        <w:rPr>
          <w:rFonts w:hint="eastAsia" w:ascii="宋体" w:hAnsi="宋体" w:eastAsia="宋体" w:cs="宋体"/>
          <w:color w:val="auto"/>
          <w:sz w:val="24"/>
          <w:szCs w:val="32"/>
          <w:highlight w:val="none"/>
        </w:rPr>
      </w:pPr>
      <w:r>
        <w:rPr>
          <w:rFonts w:ascii="Times New Roman" w:hAnsi="Times New Roman" w:eastAsia="宋体" w:cs="Times New Roman"/>
          <w:color w:val="auto"/>
          <w:sz w:val="24"/>
          <w:szCs w:val="24"/>
          <w:highlight w:val="none"/>
        </w:rPr>
        <w:t xml:space="preserve">电话：</w:t>
      </w:r>
      <w:r>
        <w:rPr>
          <w:rFonts w:hint="eastAsia" w:ascii="宋体" w:hAnsi="宋体" w:eastAsia="宋体" w:cs="宋体"/>
          <w:color w:val="auto"/>
          <w:sz w:val="24"/>
          <w:szCs w:val="32"/>
          <w:highlight w:val="none"/>
        </w:rPr>
        <w:t xml:space="preserve">15394647986</w:t>
      </w:r>
      <w:r/>
    </w:p>
    <w:p>
      <w:pPr>
        <w:keepLines w:val="0"/>
        <w:keepNext/>
        <w:pageBreakBefore w:val="0"/>
        <w:spacing w:line="360" w:lineRule="auto"/>
        <w:widowControl w:val="off"/>
        <w:tabs>
          <w:tab w:val="left" w:pos="1021" w:leader="none"/>
        </w:tabs>
        <w:rPr>
          <w:rFonts w:hint="eastAsia" w:ascii="宋体" w:hAnsi="宋体" w:cs="宋体"/>
          <w:b/>
          <w:color w:val="auto"/>
          <w:sz w:val="28"/>
          <w:szCs w:val="20"/>
          <w:highlight w:val="none"/>
        </w:rPr>
        <w:outlineLvl w:val="1"/>
      </w:pPr>
      <w:r>
        <w:rPr>
          <w:rFonts w:hint="eastAsia" w:ascii="宋体" w:hAnsi="宋体" w:cs="宋体"/>
          <w:b/>
          <w:color w:val="auto"/>
          <w:sz w:val="28"/>
          <w:szCs w:val="20"/>
          <w:highlight w:val="none"/>
        </w:rPr>
        <w:t xml:space="preserve">八、其他</w:t>
      </w:r>
      <w:r/>
    </w:p>
    <w:p>
      <w:pPr>
        <w:ind w:firstLine="480"/>
        <w:jc w:val="left"/>
        <w:keepLines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1.根据江苏</w:t>
      </w:r>
      <w:r>
        <w:rPr>
          <w:rFonts w:hint="eastAsia" w:ascii="宋体" w:hAnsi="宋体" w:cs="宋体"/>
          <w:color w:val="auto"/>
          <w:sz w:val="24"/>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firstLine="480"/>
        <w:jc w:val="left"/>
        <w:keepLines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ind w:firstLine="480"/>
        <w:jc w:val="left"/>
        <w:keepLines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有关本次采购的事项若存在变动或修改，敬请及时关注采购代理机构在“江苏政府采购网”发布的更正公告。若因供应商自身原因未及时关注本项目有关修改、补充或变更信息，导致响应文件编制或提交失误，由此造成的一切损失由供应商自行承担。</w:t>
      </w:r>
      <w:r/>
    </w:p>
    <w:p>
      <w:pPr>
        <w:ind w:firstLine="48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center"/>
        <w:keepLines w:val="0"/>
        <w:keepNext w:val="0"/>
        <w:pageBreakBefore w:val="0"/>
        <w:spacing w:line="360" w:lineRule="auto"/>
        <w:widowControl w:val="off"/>
        <w:rPr>
          <w:b/>
          <w:bCs/>
          <w:color w:val="auto"/>
          <w:sz w:val="44"/>
          <w:szCs w:val="44"/>
          <w:highlight w:val="none"/>
        </w:rPr>
        <w:outlineLvl w:val="0"/>
      </w:pPr>
      <w:r/>
      <w:bookmarkStart w:id="58" w:name="_GoBack"/>
      <w:r/>
      <w:bookmarkEnd w:id="58"/>
      <w:r/>
      <w:bookmarkStart w:id="22" w:name="_Toc13770"/>
      <w:r/>
      <w:bookmarkStart w:id="23" w:name="_Toc7098"/>
      <w:r/>
      <w:bookmarkStart w:id="24" w:name="_Toc17872"/>
      <w:r/>
      <w:bookmarkStart w:id="25" w:name="_Toc465856612"/>
      <w:r/>
      <w:bookmarkStart w:id="26" w:name="_Toc14577347"/>
      <w:r/>
      <w:bookmarkStart w:id="27" w:name="_Toc61149549"/>
      <w:r/>
      <w:bookmarkStart w:id="28" w:name="_Toc513029209"/>
      <w:r>
        <w:rPr>
          <w:b/>
          <w:color w:val="auto"/>
          <w:sz w:val="36"/>
          <w:szCs w:val="36"/>
          <w:highlight w:val="none"/>
        </w:rPr>
        <w:t xml:space="preserve">第二章 磋商须知</w:t>
      </w:r>
      <w:bookmarkEnd w:id="22"/>
      <w:r/>
      <w:bookmarkEnd w:id="23"/>
      <w:r/>
      <w:bookmarkEnd w:id="24"/>
      <w:r/>
      <w:bookmarkEnd w:id="25"/>
      <w:r/>
      <w:r/>
    </w:p>
    <w:p>
      <w:pPr>
        <w:jc w:val="center"/>
        <w:keepLines w:val="0"/>
        <w:keepNext w:val="0"/>
        <w:pageBreakBefore w:val="0"/>
        <w:spacing w:line="560" w:lineRule="exact"/>
        <w:widowControl w:val="off"/>
        <w:rPr>
          <w:b/>
          <w:bCs/>
          <w:color w:val="auto"/>
          <w:sz w:val="24"/>
          <w:highlight w:val="none"/>
        </w:rPr>
      </w:pPr>
      <w:r>
        <w:rPr>
          <w:bCs/>
          <w:color w:val="auto"/>
          <w:sz w:val="24"/>
          <w:highlight w:val="none"/>
        </w:rPr>
        <w:t xml:space="preserve">（参加竞争性磋商的供应商以下简称“供应商”）</w:t>
      </w:r>
      <w:bookmarkEnd w:id="26"/>
      <w:r/>
      <w:bookmarkEnd w:id="27"/>
      <w:r/>
      <w:bookmarkEnd w:id="28"/>
      <w:r/>
      <w:r/>
    </w:p>
    <w:p>
      <w:pPr>
        <w:jc w:val="left"/>
        <w:keepLines w:val="0"/>
        <w:keepNext w:val="0"/>
        <w:pageBreakBefore w:val="0"/>
        <w:spacing w:line="440" w:lineRule="exact"/>
        <w:widowControl w:val="off"/>
        <w:rPr>
          <w:b/>
          <w:bCs/>
          <w:color w:val="auto"/>
          <w:sz w:val="24"/>
          <w:highlight w:val="none"/>
        </w:rPr>
      </w:pPr>
      <w:r/>
      <w:bookmarkStart w:id="29" w:name="_Toc465856613"/>
      <w:r/>
      <w:bookmarkStart w:id="30" w:name="_Toc18421"/>
      <w:r>
        <w:rPr>
          <w:b/>
          <w:bCs/>
          <w:color w:val="auto"/>
          <w:sz w:val="24"/>
          <w:highlight w:val="none"/>
        </w:rPr>
        <w:t xml:space="preserve">一、总  则</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1、采购方式</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1.1 本次政府采购活动采取竞争性磋商(以下简称磋商)方式，本磋商文件仅适用于磋商公告中所述项目。</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2、合格的供应商</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2.1满足磋商公告中供应商资格要求的规定。</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2.3 满足本磋商文件实质性要求和条件的规定。</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2.4 符合上述条件的供应商应承担投标及履约过程应承担的全部责任与义务。</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3、适用法律</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3.1 本次磋商及由此产生的合同受中华人民共和国有关的法律法规制约和保护。</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4、磋商费用</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4.1 供应商应自行承担所有与参加本次磋商有关的费用。不论最终的成交结果如何，</w:t>
      </w:r>
      <w:r>
        <w:rPr>
          <w:rFonts w:hint="eastAsia"/>
          <w:bCs/>
          <w:color w:val="auto"/>
          <w:sz w:val="24"/>
          <w:highlight w:val="none"/>
          <w:lang w:eastAsia="zh-CN"/>
        </w:rPr>
        <w:t xml:space="preserve">连云港中梁工程咨询有限公司</w:t>
      </w:r>
      <w:r>
        <w:rPr>
          <w:bCs/>
          <w:color w:val="auto"/>
          <w:sz w:val="24"/>
          <w:highlight w:val="none"/>
        </w:rPr>
        <w:t xml:space="preserve">(以下简称采购代理机构)在任何情况下均无义务和责任承担这些费用。</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4.2 本次磋商不收取磋商文件工本费。</w:t>
      </w:r>
      <w:r/>
    </w:p>
    <w:p>
      <w:pPr>
        <w:ind w:firstLine="480"/>
        <w:keepLines w:val="0"/>
        <w:keepNext w:val="0"/>
        <w:pageBreakBefore w:val="0"/>
        <w:spacing w:line="440" w:lineRule="exact"/>
        <w:widowControl w:val="off"/>
        <w:rPr>
          <w:bCs/>
          <w:color w:val="auto"/>
          <w:sz w:val="24"/>
          <w:highlight w:val="none"/>
        </w:rPr>
      </w:pPr>
      <w:r>
        <w:rPr>
          <w:b/>
          <w:color w:val="auto"/>
          <w:sz w:val="24"/>
          <w:highlight w:val="none"/>
        </w:rPr>
        <w:t xml:space="preserve">4.3 招标代理服务费：</w:t>
      </w:r>
      <w:r>
        <w:rPr>
          <w:rFonts w:ascii="宋体" w:hAnsi="宋体"/>
          <w:b/>
          <w:bCs/>
          <w:color w:val="auto"/>
          <w:sz w:val="24"/>
          <w:highlight w:val="none"/>
        </w:rPr>
        <w:t xml:space="preserve">本项目的</w:t>
      </w:r>
      <w:r>
        <w:rPr>
          <w:rFonts w:hint="eastAsia" w:ascii="宋体" w:hAnsi="宋体"/>
          <w:b/>
          <w:bCs/>
          <w:color w:val="auto"/>
          <w:sz w:val="24"/>
          <w:highlight w:val="none"/>
        </w:rPr>
        <w:t xml:space="preserve">招标代理服务费根据《</w:t>
      </w:r>
      <w:r>
        <w:rPr>
          <w:rFonts w:hint="eastAsia" w:ascii="宋体" w:hAnsi="宋体"/>
          <w:b/>
          <w:bCs/>
          <w:color w:val="auto"/>
          <w:sz w:val="24"/>
          <w:highlight w:val="none"/>
          <w:lang w:val="en-US" w:eastAsia="zh-CN"/>
        </w:rPr>
        <w:t xml:space="preserve">关于江苏省招标代理服务收费的指导意见</w:t>
      </w:r>
      <w:r>
        <w:rPr>
          <w:rFonts w:hint="eastAsia" w:ascii="宋体" w:hAnsi="宋体"/>
          <w:b/>
          <w:bCs/>
          <w:color w:val="auto"/>
          <w:sz w:val="24"/>
          <w:highlight w:val="none"/>
        </w:rPr>
        <w:t xml:space="preserve">》（苏招协【2022】002号)标准计取</w:t>
      </w:r>
      <w:r>
        <w:rPr>
          <w:rFonts w:hint="eastAsia"/>
          <w:b/>
          <w:bCs/>
          <w:color w:val="auto"/>
          <w:sz w:val="24"/>
          <w:szCs w:val="24"/>
          <w:highlight w:val="none"/>
        </w:rPr>
        <w:t xml:space="preserve">，</w:t>
      </w:r>
      <w:r>
        <w:rPr>
          <w:rFonts w:hint="eastAsia"/>
          <w:b/>
          <w:bCs/>
          <w:color w:val="auto"/>
          <w:sz w:val="24"/>
          <w:highlight w:val="none"/>
        </w:rPr>
        <w:t xml:space="preserve">由成交</w:t>
      </w:r>
      <w:r>
        <w:rPr>
          <w:rFonts w:hint="eastAsia"/>
          <w:b/>
          <w:bCs/>
          <w:color w:val="auto"/>
          <w:sz w:val="24"/>
          <w:highlight w:val="none"/>
          <w:lang w:val="en-US" w:eastAsia="zh-CN"/>
        </w:rPr>
        <w:t xml:space="preserve">供应商</w:t>
      </w:r>
      <w:r>
        <w:rPr>
          <w:rFonts w:hint="eastAsia"/>
          <w:b/>
          <w:bCs/>
          <w:color w:val="auto"/>
          <w:sz w:val="24"/>
          <w:highlight w:val="none"/>
        </w:rPr>
        <w:t xml:space="preserve">支付</w:t>
      </w:r>
      <w:r>
        <w:rPr>
          <w:rFonts w:hint="eastAsia"/>
          <w:b/>
          <w:bCs/>
          <w:color w:val="auto"/>
          <w:sz w:val="24"/>
          <w:highlight w:val="none"/>
          <w:lang w:eastAsia="zh-CN"/>
        </w:rPr>
        <w:t xml:space="preserve">，</w:t>
      </w:r>
      <w:r>
        <w:rPr>
          <w:rFonts w:hint="eastAsia"/>
          <w:b/>
          <w:color w:val="auto"/>
          <w:sz w:val="24"/>
          <w:highlight w:val="none"/>
          <w:lang w:val="en-US" w:eastAsia="zh-CN"/>
        </w:rPr>
        <w:t xml:space="preserve">供应商</w:t>
      </w:r>
      <w:r>
        <w:rPr>
          <w:b/>
          <w:color w:val="auto"/>
          <w:sz w:val="24"/>
          <w:highlight w:val="none"/>
        </w:rPr>
        <w:t xml:space="preserve">在报价时应综合考虑以上相关费用，但不得单列。相关费用必须在</w:t>
      </w:r>
      <w:r>
        <w:rPr>
          <w:rFonts w:hint="eastAsia"/>
          <w:b/>
          <w:color w:val="auto"/>
          <w:sz w:val="24"/>
          <w:highlight w:val="none"/>
          <w:lang w:val="en-US" w:eastAsia="zh-CN"/>
        </w:rPr>
        <w:t xml:space="preserve">成交</w:t>
      </w:r>
      <w:r>
        <w:rPr>
          <w:b/>
          <w:color w:val="auto"/>
          <w:sz w:val="24"/>
          <w:highlight w:val="none"/>
        </w:rPr>
        <w:t xml:space="preserve">公示后</w:t>
      </w:r>
      <w:r>
        <w:rPr>
          <w:rFonts w:hint="eastAsia"/>
          <w:b/>
          <w:color w:val="auto"/>
          <w:sz w:val="24"/>
          <w:highlight w:val="none"/>
          <w:lang w:val="en-US" w:eastAsia="zh-CN"/>
        </w:rPr>
        <w:t xml:space="preserve">成交</w:t>
      </w:r>
      <w:r>
        <w:rPr>
          <w:b/>
          <w:color w:val="auto"/>
          <w:sz w:val="24"/>
          <w:highlight w:val="none"/>
        </w:rPr>
        <w:t xml:space="preserve">通知书发出前由</w:t>
      </w:r>
      <w:r>
        <w:rPr>
          <w:rFonts w:hint="eastAsia"/>
          <w:b/>
          <w:color w:val="auto"/>
          <w:sz w:val="24"/>
          <w:highlight w:val="none"/>
          <w:lang w:val="en-US" w:eastAsia="zh-CN"/>
        </w:rPr>
        <w:t xml:space="preserve">成交供应商</w:t>
      </w:r>
      <w:r>
        <w:rPr>
          <w:b/>
          <w:color w:val="auto"/>
          <w:sz w:val="24"/>
          <w:highlight w:val="none"/>
        </w:rPr>
        <w:t xml:space="preserve">一次性付清。</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5、磋商文件的约束力</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供应商一旦获取了本磋商文件并决定参加磋商，即被认为接受了本磋商文件的规定和约束，并且视为已经知道或应当知道自身权益是否受到了损害。</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二、磋商文件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6</w:t>
      </w:r>
      <w:r>
        <w:rPr>
          <w:color w:val="auto"/>
          <w:sz w:val="24"/>
          <w:highlight w:val="none"/>
        </w:rPr>
        <w:t xml:space="preserve">、磋商文件构成</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6</w:t>
      </w:r>
      <w:r>
        <w:rPr>
          <w:color w:val="auto"/>
          <w:sz w:val="24"/>
          <w:highlight w:val="none"/>
        </w:rPr>
        <w:t xml:space="preserve">.1 磋商文件由以下部分组成：</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（1）竞争性磋商邀请</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（2）磋商须知</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（3）合同文本</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（4）采购需求</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（5）评审方法和评审标准</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（6）响应文件组成</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请仔细检查磋商文件是否齐全，如有缺漏请立即与采购人或采购代理机构联系解决。</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6</w:t>
      </w:r>
      <w:r>
        <w:rPr>
          <w:color w:val="auto"/>
          <w:sz w:val="24"/>
          <w:highlight w:val="none"/>
        </w:rPr>
        <w:t xml:space="preserve">.2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7</w:t>
      </w:r>
      <w:r>
        <w:rPr>
          <w:color w:val="auto"/>
          <w:sz w:val="24"/>
          <w:highlight w:val="none"/>
        </w:rPr>
        <w:t xml:space="preserve">、磋商文件的澄清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7</w:t>
      </w:r>
      <w:r>
        <w:rPr>
          <w:color w:val="auto"/>
          <w:sz w:val="24"/>
          <w:highlight w:val="none"/>
        </w:rPr>
        <w:t xml:space="preserve">.1 任何要求对磋商文件进行澄清的供应商，应在磋商截止期5日前按磋商公告中的通讯地址，以书面形式通知代理机构。</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8</w:t>
      </w:r>
      <w:r>
        <w:rPr>
          <w:color w:val="auto"/>
          <w:sz w:val="24"/>
          <w:highlight w:val="none"/>
        </w:rPr>
        <w:t xml:space="preserve">、磋商文件的修改</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8.1 </w:t>
      </w:r>
      <w:r>
        <w:rPr>
          <w:rFonts w:hint="eastAsia"/>
          <w:color w:val="auto"/>
          <w:sz w:val="24"/>
          <w:highlight w:val="none"/>
        </w:rPr>
        <w:t xml:space="preserve">在响应文件提交截止时间前，采购人和代理机构可以对磋商文件进行修改。</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8.2 </w:t>
      </w:r>
      <w:r>
        <w:rPr>
          <w:rFonts w:hint="eastAsia"/>
          <w:color w:val="auto"/>
          <w:sz w:val="24"/>
          <w:highlight w:val="none"/>
        </w:rPr>
        <w:t xml:space="preserve">采购人和代理机构有权按照法定的要求推迟提交响应文件截止时间和开启时间。</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8.3 </w:t>
      </w:r>
      <w:r>
        <w:rPr>
          <w:rFonts w:hint="eastAsia"/>
          <w:color w:val="auto"/>
          <w:sz w:val="24"/>
          <w:highlight w:val="none"/>
        </w:rPr>
        <w:t xml:space="preserve">磋商文件的修改将在江苏政府采购网公布，补充文件将作为磋商文件的组成部分，并对供应商具有约束力。</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三、响应文件的编制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9</w:t>
      </w:r>
      <w:r>
        <w:rPr>
          <w:color w:val="auto"/>
          <w:sz w:val="24"/>
          <w:highlight w:val="none"/>
        </w:rPr>
        <w:t xml:space="preserve">、响应文件编写注意事项</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9</w:t>
      </w:r>
      <w:r>
        <w:rPr>
          <w:color w:val="auto"/>
          <w:sz w:val="24"/>
          <w:highlight w:val="none"/>
        </w:rPr>
        <w:t xml:space="preserve">.1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9</w:t>
      </w:r>
      <w:r>
        <w:rPr>
          <w:color w:val="auto"/>
          <w:sz w:val="24"/>
          <w:highlight w:val="none"/>
        </w:rPr>
        <w:t xml:space="preserve">.2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10</w:t>
      </w:r>
      <w:r>
        <w:rPr>
          <w:color w:val="auto"/>
          <w:sz w:val="24"/>
          <w:highlight w:val="none"/>
        </w:rPr>
        <w:t xml:space="preserve">、响应文件的语言及度量衡单位</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10</w:t>
      </w:r>
      <w:r>
        <w:rPr>
          <w:color w:val="auto"/>
          <w:sz w:val="24"/>
          <w:highlight w:val="none"/>
        </w:rPr>
        <w:t xml:space="preserve">.1 除专用术语外，供应商提交的响应文件以及供应商与采购人和采购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10</w:t>
      </w:r>
      <w:r>
        <w:rPr>
          <w:color w:val="auto"/>
          <w:sz w:val="24"/>
          <w:highlight w:val="none"/>
        </w:rPr>
        <w:t xml:space="preserve">.2 除技术性能另有规定外，响应文件所使用的度量衡单位，均须采用国家法定计量单位。</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11</w:t>
      </w:r>
      <w:r>
        <w:rPr>
          <w:color w:val="auto"/>
          <w:sz w:val="24"/>
          <w:highlight w:val="none"/>
        </w:rPr>
        <w:t xml:space="preserve">、响应文件的构成</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11</w:t>
      </w:r>
      <w:r>
        <w:rPr>
          <w:color w:val="auto"/>
          <w:sz w:val="24"/>
          <w:highlight w:val="none"/>
        </w:rPr>
        <w:t xml:space="preserve">.1 供应商编写的响应文件应包括资格证明文件、符合性证明文件、分项报价表、技术要求响应及偏离表、商务要求响应及偏离表、其他证明文件、磋商响应函等部分。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11</w:t>
      </w:r>
      <w:r>
        <w:rPr>
          <w:color w:val="auto"/>
          <w:sz w:val="24"/>
          <w:highlight w:val="none"/>
        </w:rPr>
        <w:t xml:space="preserve">.2 如响应文件制作工具中格式和内容与江苏政府采购网发布的磋商文件不一致，请以江苏政府采购网发布的磋商文件为准。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11</w:t>
      </w:r>
      <w:r>
        <w:rPr>
          <w:color w:val="auto"/>
          <w:sz w:val="24"/>
          <w:highlight w:val="none"/>
        </w:rPr>
        <w:t xml:space="preserve">.3 特别提醒供应商，混乱的编排导致响应文件被误读或竞争性磋商小组（以下简称磋商小组）查找不到有效文件是供应商的风险。</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12</w:t>
      </w:r>
      <w:r>
        <w:rPr>
          <w:color w:val="auto"/>
          <w:sz w:val="24"/>
          <w:highlight w:val="none"/>
        </w:rPr>
        <w:t xml:space="preserve">、证明供应商及响应标的符合磋商文件规定的文件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12</w:t>
      </w:r>
      <w:r>
        <w:rPr>
          <w:color w:val="auto"/>
          <w:sz w:val="24"/>
          <w:highlight w:val="none"/>
        </w:rPr>
        <w:t xml:space="preserve">.1 供应商应按照磋商文件要求提交证明文件，证明其及响应标的符合磋商文件规定。</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12</w:t>
      </w:r>
      <w:r>
        <w:rPr>
          <w:color w:val="auto"/>
          <w:sz w:val="24"/>
          <w:highlight w:val="none"/>
        </w:rPr>
        <w:t xml:space="preserve">.2 磋商文件对证明文件无明确形式要求的，证明文件可以以文字资料、图纸和数据等形式提交。</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12</w:t>
      </w:r>
      <w:r>
        <w:rPr>
          <w:color w:val="auto"/>
          <w:sz w:val="24"/>
          <w:highlight w:val="none"/>
        </w:rPr>
        <w:t xml:space="preserve">.3 供应商委托代理时应当提交授权委托书，请按磋商文件第六章给定格式及要求填写并附法定代表人（单位负责人）与委托代理人身份证明。</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13</w:t>
      </w:r>
      <w:r>
        <w:rPr>
          <w:color w:val="auto"/>
          <w:sz w:val="24"/>
          <w:highlight w:val="none"/>
        </w:rPr>
        <w:t xml:space="preserve">、分项报价表</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13</w:t>
      </w:r>
      <w:r>
        <w:rPr>
          <w:color w:val="auto"/>
          <w:sz w:val="24"/>
          <w:highlight w:val="none"/>
        </w:rPr>
        <w:t xml:space="preserve">.1 供应商应根据响应报价要求在分项报价表中列明各项单价、总价等，未全部列示的作无效响应处理。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13</w:t>
      </w:r>
      <w:r>
        <w:rPr>
          <w:color w:val="auto"/>
          <w:sz w:val="24"/>
          <w:highlight w:val="none"/>
        </w:rPr>
        <w:t xml:space="preserve">.2 响应文件中的单价和总价无特殊规定的采用人民币报价，以元为单位标注。磋商文件中另有规定的按规定执行。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14</w:t>
      </w:r>
      <w:r>
        <w:rPr>
          <w:color w:val="auto"/>
          <w:sz w:val="24"/>
          <w:highlight w:val="none"/>
        </w:rPr>
        <w:t xml:space="preserve">、技术要求响应及偏离表、商务要求响应及偏离表</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14</w:t>
      </w:r>
      <w:r>
        <w:rPr>
          <w:color w:val="auto"/>
          <w:sz w:val="24"/>
          <w:highlight w:val="none"/>
        </w:rPr>
        <w:t xml:space="preserve">.1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14</w:t>
      </w:r>
      <w:r>
        <w:rPr>
          <w:color w:val="auto"/>
          <w:sz w:val="24"/>
          <w:highlight w:val="none"/>
        </w:rPr>
        <w:t xml:space="preserve">.2 供应商可在响应文件中提供认为需要的其他技术文件或说明。</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15</w:t>
      </w:r>
      <w:r>
        <w:rPr>
          <w:color w:val="auto"/>
          <w:sz w:val="24"/>
          <w:highlight w:val="none"/>
        </w:rPr>
        <w:t xml:space="preserve">、服务承诺、培训计划、人员安排及其他</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15</w:t>
      </w:r>
      <w:r>
        <w:rPr>
          <w:color w:val="auto"/>
          <w:sz w:val="24"/>
          <w:highlight w:val="none"/>
        </w:rPr>
        <w:t xml:space="preserve">.1 供应商应根据磋商文件要求提供有关售后服务的管理制度，售后服务机构的分布情况，售后服务人员的数量、素质、技术水平及售后服务的反应能力等。</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15</w:t>
      </w:r>
      <w:r>
        <w:rPr>
          <w:color w:val="auto"/>
          <w:sz w:val="24"/>
          <w:highlight w:val="none"/>
        </w:rPr>
        <w:t xml:space="preserve">.2 供应商应根据磋商文件要求提供培训计划、人员安排等。</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15</w:t>
      </w:r>
      <w:r>
        <w:rPr>
          <w:color w:val="auto"/>
          <w:sz w:val="24"/>
          <w:highlight w:val="none"/>
        </w:rPr>
        <w:t xml:space="preserve">.3 供应商应根据磋商文件要求提供响应标的的主要组成部分、功能设计、实现思路及关键技术等。</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color w:val="auto"/>
          <w:sz w:val="24"/>
          <w:highlight w:val="none"/>
          <w:lang w:val="en-US" w:eastAsia="zh-CN"/>
        </w:rPr>
        <w:t xml:space="preserve">16</w:t>
      </w:r>
      <w:r>
        <w:rPr>
          <w:rFonts w:eastAsia="宋体"/>
          <w:color w:val="auto"/>
          <w:sz w:val="24"/>
          <w:highlight w:val="none"/>
        </w:rPr>
        <w:t xml:space="preserve">、磋商响应函</w:t>
      </w:r>
      <w:r/>
    </w:p>
    <w:p>
      <w:pPr>
        <w:ind w:firstLine="480"/>
        <w:jc w:val="left"/>
        <w:keepLines w:val="0"/>
        <w:keepNext w:val="0"/>
        <w:pageBreakBefore w:val="0"/>
        <w:spacing w:line="440" w:lineRule="exact"/>
        <w:widowControl w:val="off"/>
        <w:rPr>
          <w:rFonts w:hint="eastAsia" w:eastAsia="宋体"/>
          <w:color w:val="auto"/>
          <w:sz w:val="24"/>
          <w:highlight w:val="none"/>
        </w:rPr>
      </w:pPr>
      <w:r>
        <w:rPr>
          <w:rFonts w:hint="eastAsia"/>
          <w:color w:val="auto"/>
          <w:sz w:val="24"/>
          <w:highlight w:val="none"/>
          <w:lang w:val="en-US" w:eastAsia="zh-CN"/>
        </w:rPr>
        <w:t xml:space="preserve">16</w:t>
      </w:r>
      <w:r>
        <w:rPr>
          <w:rFonts w:eastAsia="宋体"/>
          <w:color w:val="auto"/>
          <w:sz w:val="24"/>
          <w:highlight w:val="none"/>
        </w:rPr>
        <w:t xml:space="preserve">.1 供应商应按照磋商文件提供的格式完整、正确填写磋商响应函</w:t>
      </w:r>
      <w:r>
        <w:rPr>
          <w:rFonts w:hint="eastAsia" w:eastAsia="宋体"/>
          <w:color w:val="auto"/>
          <w:sz w:val="24"/>
          <w:highlight w:val="none"/>
          <w:lang w:eastAsia="zh-CN"/>
        </w:rPr>
        <w:t xml:space="preserve">、</w:t>
      </w:r>
      <w:r>
        <w:rPr>
          <w:rFonts w:hint="eastAsia" w:eastAsia="宋体"/>
          <w:color w:val="auto"/>
          <w:sz w:val="24"/>
          <w:highlight w:val="none"/>
        </w:rPr>
        <w:t xml:space="preserve">开标一览表</w:t>
      </w:r>
      <w:r>
        <w:rPr>
          <w:rFonts w:eastAsia="宋体"/>
          <w:color w:val="auto"/>
          <w:sz w:val="24"/>
          <w:highlight w:val="none"/>
        </w:rPr>
        <w:t xml:space="preserve">。</w:t>
      </w:r>
      <w:bookmarkStart w:id="31" w:name="_Toc49090510"/>
      <w:r/>
      <w:bookmarkStart w:id="32" w:name="_Toc14577359"/>
      <w:r/>
      <w:bookmarkEnd w:id="31"/>
      <w:r/>
      <w:bookmarkEnd w:id="32"/>
      <w:r/>
      <w:r/>
    </w:p>
    <w:p>
      <w:pPr>
        <w:ind w:firstLine="480"/>
        <w:jc w:val="left"/>
        <w:keepLines w:val="0"/>
        <w:keepNext w:val="0"/>
        <w:pageBreakBefore w:val="0"/>
        <w:spacing w:line="440" w:lineRule="exact"/>
        <w:widowControl w:val="off"/>
        <w:rPr>
          <w:rFonts w:eastAsia="宋体"/>
          <w:color w:val="auto"/>
          <w:sz w:val="24"/>
          <w:highlight w:val="none"/>
        </w:rPr>
      </w:pPr>
      <w:r>
        <w:rPr>
          <w:rFonts w:hint="eastAsia"/>
          <w:color w:val="auto"/>
          <w:sz w:val="24"/>
          <w:highlight w:val="none"/>
          <w:lang w:val="en-US" w:eastAsia="zh-CN"/>
        </w:rPr>
        <w:t xml:space="preserve">17</w:t>
      </w:r>
      <w:r>
        <w:rPr>
          <w:rFonts w:eastAsia="宋体"/>
          <w:color w:val="auto"/>
          <w:sz w:val="24"/>
          <w:highlight w:val="none"/>
        </w:rPr>
        <w:t xml:space="preserve">、磋商有效期</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17</w:t>
      </w:r>
      <w:r>
        <w:rPr>
          <w:rFonts w:eastAsia="宋体"/>
          <w:color w:val="auto"/>
          <w:sz w:val="24"/>
          <w:highlight w:val="none"/>
        </w:rPr>
        <w:t xml:space="preserve">.1 磋商有效期为磋商文件</w:t>
      </w:r>
      <w:r>
        <w:rPr>
          <w:color w:val="auto"/>
          <w:sz w:val="24"/>
          <w:highlight w:val="none"/>
        </w:rPr>
        <w:t xml:space="preserve">规定的开启之日后六十（60）天。磋商有效期比规定短的将被视为未实质性响应磋商文件而予以拒绝。</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17</w:t>
      </w:r>
      <w:r>
        <w:rPr>
          <w:color w:val="auto"/>
          <w:sz w:val="24"/>
          <w:highlight w:val="none"/>
        </w:rPr>
        <w:t xml:space="preserve">.2 在特殊情况下，采购代理机构于原磋商有效期满之前，可向供应商提出延长磋商有效期的要求。这种要求与答复均应采用书面形式。供应商可以拒绝采购代理机构的这一要求而放弃磋商响应，同意延长磋商有效期的供应商既不能要求也不允许修改其响应文件。受磋商有效期约束的所有权利与义务均延长至新的有效期。</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四、响应文件提交</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18</w:t>
      </w:r>
      <w:r>
        <w:rPr>
          <w:color w:val="auto"/>
          <w:sz w:val="24"/>
          <w:highlight w:val="none"/>
        </w:rPr>
        <w:t xml:space="preserve">、电子响应文件的提交</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18</w:t>
      </w:r>
      <w:r>
        <w:rPr>
          <w:color w:val="auto"/>
          <w:sz w:val="24"/>
          <w:highlight w:val="none"/>
        </w:rPr>
        <w:t xml:space="preserve">.1 供应商应当按照《操作手册》规定，在响应文件提交截止时间前制作并提交（上传）电子响应文件。</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19</w:t>
      </w:r>
      <w:r>
        <w:rPr>
          <w:color w:val="auto"/>
          <w:sz w:val="24"/>
          <w:highlight w:val="none"/>
        </w:rPr>
        <w:t xml:space="preserve">、提交响应文件截止时间</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19</w:t>
      </w:r>
      <w:r>
        <w:rPr>
          <w:color w:val="auto"/>
          <w:sz w:val="24"/>
          <w:highlight w:val="none"/>
        </w:rPr>
        <w:t xml:space="preserve">.1 供应商提交（上传）电子响应文件的时间不得迟于磋商公告中规定的截止时间。</w:t>
      </w:r>
      <w:r/>
    </w:p>
    <w:p>
      <w:pPr>
        <w:ind w:firstLine="480"/>
        <w:keepLines w:val="0"/>
        <w:keepNext w:val="0"/>
        <w:pageBreakBefore w:val="0"/>
        <w:spacing w:line="440" w:lineRule="exact"/>
        <w:widowControl w:val="off"/>
        <w:rPr>
          <w:color w:val="auto"/>
          <w:sz w:val="24"/>
          <w:highlight w:val="none"/>
        </w:rPr>
      </w:pPr>
      <w:r>
        <w:rPr>
          <w:color w:val="auto"/>
          <w:sz w:val="24"/>
          <w:highlight w:val="none"/>
        </w:rPr>
        <w:t xml:space="preserve">供应商应充分考虑到网络环境、网络带宽等风险因素，如因供应商自身原因造成的电子响应文件上传不成功的按照本磋商文件第二章第2</w:t>
      </w:r>
      <w:r>
        <w:rPr>
          <w:rFonts w:hint="eastAsia"/>
          <w:color w:val="auto"/>
          <w:sz w:val="24"/>
          <w:highlight w:val="none"/>
          <w:lang w:val="en-US" w:eastAsia="zh-CN"/>
        </w:rPr>
        <w:t xml:space="preserve">9.1</w:t>
      </w:r>
      <w:r>
        <w:rPr>
          <w:color w:val="auto"/>
          <w:sz w:val="24"/>
          <w:highlight w:val="none"/>
        </w:rPr>
        <w:t xml:space="preserve">条规定做无效响应处理。</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19</w:t>
      </w:r>
      <w:r>
        <w:rPr>
          <w:color w:val="auto"/>
          <w:sz w:val="24"/>
          <w:highlight w:val="none"/>
        </w:rPr>
        <w:t xml:space="preserve">.2 采购人和采购代理机构可以按照规定，通过修改磋商文件酌情延长响应文件提交截止时间，在此情况下，供应商的所有权利和义务以及供应商受制的截止时间均应以延长后新的截止时间为准。</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20</w:t>
      </w:r>
      <w:r>
        <w:rPr>
          <w:color w:val="auto"/>
          <w:sz w:val="24"/>
          <w:highlight w:val="none"/>
        </w:rPr>
        <w:t xml:space="preserve">、响应文件的拒收</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20</w:t>
      </w:r>
      <w:r>
        <w:rPr>
          <w:color w:val="auto"/>
          <w:sz w:val="24"/>
          <w:highlight w:val="none"/>
        </w:rPr>
        <w:t xml:space="preserve">.1 采购代理机构拒绝接收在磋商文件规定的截止时间后提交（上传）的任何响应文件。</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21</w:t>
      </w:r>
      <w:r>
        <w:rPr>
          <w:color w:val="auto"/>
          <w:sz w:val="24"/>
          <w:highlight w:val="none"/>
        </w:rPr>
        <w:t xml:space="preserve">、响应文件的撤回和修改</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21.</w:t>
      </w:r>
      <w:r>
        <w:rPr>
          <w:color w:val="auto"/>
          <w:sz w:val="24"/>
          <w:highlight w:val="none"/>
        </w:rPr>
        <w:t xml:space="preserve">1 供应商可在提交（上传）响应文件截止时间前，撤回其电子响应文件，具体操作方法见《操作手册》。供应商撤回电子响应文件的，则认为其不再参与本项目采购活动。</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21</w:t>
      </w:r>
      <w:r>
        <w:rPr>
          <w:color w:val="auto"/>
          <w:sz w:val="24"/>
          <w:highlight w:val="none"/>
        </w:rPr>
        <w:t xml:space="preserve">.2 供应商可在提交（上传）响应文件截止时间前，对其电子响应文件进行修改，具体操作方法见《操作手册》。在提交（上传）响应文件截止时间之后，供应商不得对其电子响应文件做任何修改。</w:t>
      </w:r>
      <w:r/>
    </w:p>
    <w:p>
      <w:pPr>
        <w:ind w:firstLine="480"/>
        <w:keepLines w:val="0"/>
        <w:keepNext w:val="0"/>
        <w:pageBreakBefore w:val="0"/>
        <w:spacing w:line="440" w:lineRule="exact"/>
        <w:widowControl w:val="off"/>
        <w:rPr>
          <w:b/>
          <w:bCs/>
          <w:color w:val="auto"/>
          <w:sz w:val="24"/>
          <w:highlight w:val="none"/>
        </w:rPr>
      </w:pPr>
      <w:r>
        <w:rPr>
          <w:rFonts w:hint="eastAsia"/>
          <w:color w:val="auto"/>
          <w:sz w:val="24"/>
          <w:highlight w:val="none"/>
          <w:lang w:val="en-US" w:eastAsia="zh-CN"/>
        </w:rPr>
        <w:t xml:space="preserve">21</w:t>
      </w:r>
      <w:r>
        <w:rPr>
          <w:color w:val="auto"/>
          <w:sz w:val="24"/>
          <w:highlight w:val="none"/>
        </w:rPr>
        <w:t xml:space="preserve">.3 在提交（上传）响应文件截止时间至磋商文件规定的磋商有效期满之间的这段时间内，供应商不得撤回其电子响应文件。</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五、响应文件开启（解密）与评审</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22</w:t>
      </w:r>
      <w:r>
        <w:rPr>
          <w:color w:val="auto"/>
          <w:sz w:val="24"/>
          <w:highlight w:val="none"/>
        </w:rPr>
        <w:t xml:space="preserve">、响应文件开启（解密）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22</w:t>
      </w:r>
      <w:r>
        <w:rPr>
          <w:color w:val="auto"/>
          <w:sz w:val="24"/>
          <w:highlight w:val="none"/>
        </w:rPr>
        <w:t xml:space="preserve">.1 采购代理机构将在磋商公告中规定的时间和地点组织响应文件开启。供应商应当按时参加，并在“苏采云”系统规定的时间内对其电子响应文件进行解密。</w:t>
      </w:r>
      <w:r/>
    </w:p>
    <w:p>
      <w:pPr>
        <w:ind w:firstLine="480"/>
        <w:jc w:val="left"/>
        <w:keepLines w:val="0"/>
        <w:keepNext w:val="0"/>
        <w:pageBreakBefore w:val="0"/>
        <w:spacing w:line="440" w:lineRule="exact"/>
        <w:widowControl w:val="off"/>
        <w:rPr>
          <w:color w:val="auto"/>
          <w:sz w:val="24"/>
          <w:szCs w:val="24"/>
          <w:highlight w:val="none"/>
        </w:rPr>
      </w:pPr>
      <w:r>
        <w:rPr>
          <w:rFonts w:hint="eastAsia"/>
          <w:color w:val="auto"/>
          <w:sz w:val="24"/>
          <w:szCs w:val="24"/>
          <w:highlight w:val="none"/>
          <w:lang w:val="en-US" w:eastAsia="zh-CN"/>
        </w:rPr>
        <w:t xml:space="preserve">22</w:t>
      </w:r>
      <w:r>
        <w:rPr>
          <w:color w:val="auto"/>
          <w:sz w:val="24"/>
          <w:szCs w:val="24"/>
          <w:highlight w:val="none"/>
        </w:rPr>
        <w:t xml:space="preserve">.2 供应商在开启（解密）过程中涉及到的响应文件解密、开启结果确认等工作，应当按照《操作手册》规定执行。</w:t>
      </w:r>
      <w:r/>
    </w:p>
    <w:p>
      <w:pPr>
        <w:ind w:firstLine="480"/>
        <w:jc w:val="left"/>
        <w:keepLines w:val="0"/>
        <w:keepNext w:val="0"/>
        <w:pageBreakBefore w:val="0"/>
        <w:spacing w:line="440" w:lineRule="exact"/>
        <w:widowControl w:val="off"/>
        <w:rPr>
          <w:color w:val="auto"/>
          <w:sz w:val="24"/>
          <w:szCs w:val="24"/>
          <w:highlight w:val="none"/>
        </w:rPr>
      </w:pPr>
      <w:r>
        <w:rPr>
          <w:rFonts w:hint="eastAsia"/>
          <w:color w:val="auto"/>
          <w:sz w:val="24"/>
          <w:szCs w:val="24"/>
          <w:highlight w:val="none"/>
          <w:lang w:val="en-US" w:eastAsia="zh-CN"/>
        </w:rPr>
        <w:t xml:space="preserve">22</w:t>
      </w:r>
      <w:r>
        <w:rPr>
          <w:color w:val="auto"/>
          <w:sz w:val="24"/>
          <w:szCs w:val="24"/>
          <w:highlight w:val="none"/>
        </w:rPr>
        <w:t xml:space="preserve">.5 供应商未参加开启（解密）的，视同认可开启（解密）结果。</w:t>
      </w:r>
      <w:r/>
    </w:p>
    <w:p>
      <w:pPr>
        <w:ind w:firstLine="480"/>
        <w:jc w:val="left"/>
        <w:keepLines w:val="0"/>
        <w:keepNext w:val="0"/>
        <w:pageBreakBefore w:val="0"/>
        <w:spacing w:line="440" w:lineRule="exact"/>
        <w:widowControl w:val="off"/>
        <w:rPr>
          <w:b/>
          <w:bCs/>
          <w:color w:val="auto"/>
          <w:sz w:val="24"/>
          <w:szCs w:val="24"/>
          <w:highlight w:val="none"/>
        </w:rPr>
      </w:pPr>
      <w:r>
        <w:rPr>
          <w:rFonts w:hint="eastAsia"/>
          <w:color w:val="auto"/>
          <w:sz w:val="24"/>
          <w:szCs w:val="24"/>
          <w:highlight w:val="none"/>
          <w:lang w:val="en-US" w:eastAsia="zh-CN"/>
        </w:rPr>
        <w:t xml:space="preserve">22</w:t>
      </w:r>
      <w:r>
        <w:rPr>
          <w:color w:val="auto"/>
          <w:sz w:val="24"/>
          <w:szCs w:val="24"/>
          <w:highlight w:val="none"/>
        </w:rPr>
        <w:t xml:space="preserve">.6 供应商在开启（解密）、澄清、磋商、最后报价、评审全过程中应保持通讯畅通，及时登录“苏采云”系统查阅、答复相关信息，并安排专人与采购代理机构及磋商小组联系。</w:t>
      </w:r>
      <w:r/>
    </w:p>
    <w:p>
      <w:pPr>
        <w:ind w:firstLine="480"/>
        <w:jc w:val="left"/>
        <w:keepLines w:val="0"/>
        <w:keepNext w:val="0"/>
        <w:pageBreakBefore w:val="0"/>
        <w:spacing w:line="440" w:lineRule="exact"/>
        <w:widowControl w:val="off"/>
        <w:rPr>
          <w:color w:val="auto"/>
          <w:sz w:val="24"/>
          <w:szCs w:val="24"/>
          <w:highlight w:val="none"/>
        </w:rPr>
      </w:pPr>
      <w:r>
        <w:rPr>
          <w:rFonts w:hint="eastAsia"/>
          <w:color w:val="auto"/>
          <w:sz w:val="24"/>
          <w:szCs w:val="24"/>
          <w:highlight w:val="none"/>
          <w:lang w:val="en-US" w:eastAsia="zh-CN"/>
        </w:rPr>
        <w:t xml:space="preserve">23</w:t>
      </w:r>
      <w:r>
        <w:rPr>
          <w:color w:val="auto"/>
          <w:sz w:val="24"/>
          <w:szCs w:val="24"/>
          <w:highlight w:val="none"/>
        </w:rPr>
        <w:t xml:space="preserve">、磋商小组</w:t>
      </w:r>
      <w:r/>
    </w:p>
    <w:p>
      <w:pPr>
        <w:ind w:firstLine="480"/>
        <w:jc w:val="left"/>
        <w:keepLines w:val="0"/>
        <w:keepNext w:val="0"/>
        <w:pageBreakBefore w:val="0"/>
        <w:spacing w:line="440" w:lineRule="exact"/>
        <w:widowControl w:val="off"/>
        <w:rPr>
          <w:color w:val="auto"/>
          <w:sz w:val="24"/>
          <w:highlight w:val="none"/>
        </w:rPr>
      </w:pPr>
      <w:r>
        <w:rPr>
          <w:color w:val="auto"/>
          <w:sz w:val="24"/>
          <w:szCs w:val="24"/>
          <w:highlight w:val="none"/>
        </w:rPr>
        <w:t xml:space="preserve">2</w:t>
      </w:r>
      <w:r>
        <w:rPr>
          <w:rFonts w:hint="eastAsia"/>
          <w:color w:val="auto"/>
          <w:sz w:val="24"/>
          <w:szCs w:val="24"/>
          <w:highlight w:val="none"/>
          <w:lang w:val="en-US" w:eastAsia="zh-CN"/>
        </w:rPr>
        <w:t xml:space="preserve">3</w:t>
      </w:r>
      <w:r>
        <w:rPr>
          <w:color w:val="auto"/>
          <w:sz w:val="24"/>
          <w:szCs w:val="24"/>
          <w:highlight w:val="none"/>
        </w:rPr>
        <w:t xml:space="preserve">.1 响应文件开启（解密</w:t>
      </w:r>
      <w:r>
        <w:rPr>
          <w:color w:val="auto"/>
          <w:sz w:val="24"/>
          <w:highlight w:val="none"/>
        </w:rPr>
        <w:t xml:space="preserve">）后，采购代理机构将组织磋商小组进行评审。</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w:t>
      </w:r>
      <w:r>
        <w:rPr>
          <w:rFonts w:hint="eastAsia"/>
          <w:color w:val="auto"/>
          <w:sz w:val="24"/>
          <w:highlight w:val="none"/>
          <w:lang w:val="en-US" w:eastAsia="zh-CN"/>
        </w:rPr>
        <w:t xml:space="preserve">3</w:t>
      </w:r>
      <w:r>
        <w:rPr>
          <w:color w:val="auto"/>
          <w:sz w:val="24"/>
          <w:highlight w:val="none"/>
        </w:rPr>
        <w:t xml:space="preserve">.2 磋商小组由采购人代表和有关技术、经济等方面的评审专家组成，且人员构成符合政府采购有关规定。</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w:t>
      </w:r>
      <w:r>
        <w:rPr>
          <w:rFonts w:hint="eastAsia"/>
          <w:color w:val="auto"/>
          <w:sz w:val="24"/>
          <w:highlight w:val="none"/>
          <w:lang w:val="en-US" w:eastAsia="zh-CN"/>
        </w:rPr>
        <w:t xml:space="preserve">3</w:t>
      </w:r>
      <w:r>
        <w:rPr>
          <w:color w:val="auto"/>
          <w:sz w:val="24"/>
          <w:highlight w:val="none"/>
        </w:rPr>
        <w:t xml:space="preserve">.3 磋商小组按照磋商文件规定的评审程序、评审方法和评审标准进行独立评审并确定成交候选人。</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24</w:t>
      </w:r>
      <w:r>
        <w:rPr>
          <w:color w:val="auto"/>
          <w:sz w:val="24"/>
          <w:highlight w:val="none"/>
        </w:rPr>
        <w:t xml:space="preserve">、评审过程的保密与公正</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24</w:t>
      </w:r>
      <w:r>
        <w:rPr>
          <w:color w:val="auto"/>
          <w:sz w:val="24"/>
          <w:highlight w:val="none"/>
        </w:rPr>
        <w:t xml:space="preserve">.1 凡是与审查、澄清、评价和比较有关的资料以及成交建议等，采购人、评审专家、采购代理机构均不得向供应商或与评审无关的其他人员透露。</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24</w:t>
      </w:r>
      <w:r>
        <w:rPr>
          <w:color w:val="auto"/>
          <w:sz w:val="24"/>
          <w:highlight w:val="none"/>
        </w:rPr>
        <w:t xml:space="preserve">.2 在评审过程中，供应商不得以任何行为影响评审过程，否则其响应文件将被作为无效响应文件。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24</w:t>
      </w:r>
      <w:r>
        <w:rPr>
          <w:color w:val="auto"/>
          <w:sz w:val="24"/>
          <w:highlight w:val="none"/>
        </w:rPr>
        <w:t xml:space="preserve">.3 采购代理机构和磋商小组不向未成交的供应商解释未成交原因，也不公布评审过程中的相关细节。</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25</w:t>
      </w:r>
      <w:r>
        <w:rPr>
          <w:color w:val="auto"/>
          <w:sz w:val="24"/>
          <w:highlight w:val="none"/>
        </w:rPr>
        <w:t xml:space="preserve">、响应文件的澄清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25.</w:t>
      </w:r>
      <w:r>
        <w:rPr>
          <w:color w:val="auto"/>
          <w:sz w:val="24"/>
          <w:highlight w:val="none"/>
        </w:rPr>
        <w:t xml:space="preserve">1 评审期间，磋商小组对响应文件中含义不明确、同类问题表述不一致或者有明显文字和计算错误的内容，有权要求供应商作出必要的澄清、说明或者补正。</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磋商小组并非对每个供应商都提出澄清、说明或者补正要求。</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25</w:t>
      </w:r>
      <w:r>
        <w:rPr>
          <w:color w:val="auto"/>
          <w:sz w:val="24"/>
          <w:highlight w:val="none"/>
        </w:rPr>
        <w:t xml:space="preserve">.2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25</w:t>
      </w:r>
      <w:r>
        <w:rPr>
          <w:color w:val="auto"/>
          <w:sz w:val="24"/>
          <w:highlight w:val="none"/>
        </w:rPr>
        <w:t xml:space="preserve">.3 接到磋商小组澄清、说明或者补正要求的供应商如未按要求响应，其风险由供应商自行承担。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26</w:t>
      </w:r>
      <w:r>
        <w:rPr>
          <w:color w:val="auto"/>
          <w:sz w:val="24"/>
          <w:highlight w:val="none"/>
        </w:rPr>
        <w:t xml:space="preserve">、对响应文件的审查</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26</w:t>
      </w:r>
      <w:r>
        <w:rPr>
          <w:color w:val="auto"/>
          <w:sz w:val="24"/>
          <w:highlight w:val="none"/>
        </w:rPr>
        <w:t xml:space="preserve">.1 响应文件审查分为资格审查和符合性审查。</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（1）资格审查：磋商小组依据法律法规和磋商文件的规定，对响应文件中的资格证明文件进行审查，以确定供应商是否具备参加磋商采购的资格。</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360" w:lineRule="auto"/>
        <w:rPr>
          <w:b/>
          <w:bCs/>
          <w:color w:val="auto"/>
          <w:sz w:val="24"/>
          <w:highlight w:val="none"/>
        </w:rPr>
      </w:pPr>
      <w:r>
        <w:rPr>
          <w:rFonts w:hint="eastAsia"/>
          <w:b/>
          <w:bCs/>
          <w:color w:val="auto"/>
          <w:sz w:val="24"/>
          <w:highlight w:val="none"/>
        </w:rPr>
        <w:t xml:space="preserve">政府采购异常低价审查：</w:t>
      </w:r>
      <w:r/>
    </w:p>
    <w:p>
      <w:pPr>
        <w:pStyle w:val="1189"/>
        <w:ind w:firstLine="482"/>
        <w:jc w:val="both"/>
        <w:spacing w:before="0" w:beforeAutospacing="0" w:after="0" w:afterAutospacing="0" w:line="499" w:lineRule="atLeast"/>
        <w:rPr>
          <w:color w:val="auto"/>
          <w:highlight w:val="none"/>
        </w:rPr>
      </w:pPr>
      <w:r>
        <w:rPr>
          <w:rFonts w:hint="eastAsia" w:ascii="宋体" w:hAnsi="宋体" w:cs="宋体"/>
          <w:color w:val="auto"/>
          <w:szCs w:val="24"/>
          <w:highlight w:val="none"/>
        </w:rPr>
        <w:t xml:space="preserve">（一）评审过程中出现下列情形之一的，</w:t>
      </w:r>
      <w:r>
        <w:rPr>
          <w:rFonts w:hint="eastAsia"/>
          <w:color w:val="auto"/>
          <w:szCs w:val="24"/>
          <w:highlight w:val="none"/>
        </w:rPr>
        <w:t xml:space="preserve">磋商小组</w:t>
      </w:r>
      <w:r>
        <w:rPr>
          <w:rFonts w:hint="eastAsia" w:ascii="宋体" w:hAnsi="宋体" w:cs="宋体"/>
          <w:color w:val="auto"/>
          <w:szCs w:val="24"/>
          <w:highlight w:val="none"/>
        </w:rPr>
        <w:t xml:space="preserve">应当启动异常低价响应审查程序：</w:t>
      </w:r>
      <w:r/>
    </w:p>
    <w:p>
      <w:pPr>
        <w:ind w:firstLine="480"/>
        <w:jc w:val="left"/>
        <w:spacing w:line="500" w:lineRule="exact"/>
        <w:rPr>
          <w:rFonts w:hint="eastAsia"/>
          <w:color w:val="auto"/>
          <w:sz w:val="24"/>
          <w:szCs w:val="24"/>
          <w:highlight w:val="none"/>
          <w:lang w:val="en-US" w:eastAsia="zh-CN"/>
        </w:rPr>
      </w:pPr>
      <w:r>
        <w:rPr>
          <w:rFonts w:hint="eastAsia" w:ascii="Times New Roman" w:eastAsia="宋体"/>
          <w:color w:val="auto"/>
          <w:sz w:val="24"/>
          <w:szCs w:val="24"/>
          <w:highlight w:val="none"/>
          <w:lang w:val="en-US" w:eastAsia="zh-CN"/>
        </w:rPr>
        <w:t xml:space="preserve">根据《关于推动解决政府采购异常低价问题的通知》（财库〔2026〕2号）规定，政府采购</w:t>
      </w:r>
      <w:r>
        <w:rPr>
          <w:rFonts w:hint="eastAsia" w:asciiTheme="minorHAnsi" w:eastAsiaTheme="minorEastAsia"/>
          <w:color w:val="auto"/>
          <w:sz w:val="24"/>
          <w:szCs w:val="24"/>
          <w:highlight w:val="none"/>
          <w:lang w:val="en-US" w:eastAsia="zh-CN"/>
        </w:rPr>
        <w:t xml:space="preserve">评审过程中出现下列情形之一的，</w:t>
      </w:r>
      <w:r>
        <w:rPr>
          <w:rFonts w:hint="eastAsia"/>
          <w:color w:val="auto"/>
          <w:sz w:val="24"/>
          <w:szCs w:val="24"/>
          <w:highlight w:val="none"/>
          <w:lang w:val="en-US" w:eastAsia="zh-CN"/>
        </w:rPr>
        <w:t xml:space="preserve">评审委员会</w:t>
      </w:r>
      <w:r>
        <w:rPr>
          <w:rFonts w:hint="eastAsia" w:asciiTheme="minorHAnsi" w:eastAsiaTheme="minorEastAsia"/>
          <w:color w:val="auto"/>
          <w:sz w:val="24"/>
          <w:szCs w:val="24"/>
          <w:highlight w:val="none"/>
          <w:lang w:val="en-US" w:eastAsia="zh-CN"/>
        </w:rPr>
        <w:t xml:space="preserve">应当启动异常低价投标审查程序:</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1.</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报价低于全部通过符合性审查供应商</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报价平均值5</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%的，即</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报价&lt;全部通过符合性审查供应商</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报价平均值×</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50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2.</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报价低于通过符合性审查的次低报价供应商</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50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%的，即</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报价&lt;通过符合性审查的次低报价供应商</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报价×5</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3.</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报价低于采购项目最高限价</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45</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%的，即</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报价&lt;采购项目最高限价×</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45</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4.评审委员会基于专业判断，认为供应商报价过低，有可能影响产品质量或者不能诚信履约的其他情形。</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Cs w:val="24"/>
          <w:highlight w:val="none"/>
        </w:rPr>
        <w:t xml:space="preserve">（二）</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评审委员会启动异常低价投标审查后，属于前述第1项至第4项情形的，应当要求相关供应商在评审现场合理的时间内对</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文件一并提交相关书面说明及必要的证明材料的，在评审现场可不再重复提交。</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keepLines w:val="0"/>
        <w:keepNext w:val="0"/>
        <w:pageBreakBefore w:val="0"/>
        <w:spacing w:line="440" w:lineRule="exact"/>
        <w:widowControl w:val="off"/>
        <w:rPr>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未通过资格审查或符合性审查的供应商，将通过“苏采云”系统中告知其未通过的原因，评审结束后，将不再告知。</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26</w:t>
      </w:r>
      <w:r>
        <w:rPr>
          <w:color w:val="auto"/>
          <w:sz w:val="24"/>
          <w:highlight w:val="none"/>
        </w:rPr>
        <w:t xml:space="preserve">.2 在磋商之前，磋商小组将首先审查每份响应文件是否实质性响应了磋商文件的要求。实质性响应的文件应当是与磋商文件要求的全部条款、条件和规格相符，没有重大偏离或保留。</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26</w:t>
      </w:r>
      <w:r>
        <w:rPr>
          <w:color w:val="auto"/>
          <w:sz w:val="24"/>
          <w:highlight w:val="none"/>
        </w:rPr>
        <w:t xml:space="preserve">.3 如果响应文件实质上没有响应磋商文件的要求，磋商小组将予以拒绝，供应商不得通过修改或撤销不符合要求的偏离或保留而使其成为实质性响应。</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26.4 磋商小组将对确定为实质性响应的投标进行进一步审核，看其是否有计算上或累加上的算术错误，修正错误的原则如下：</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（1）投标文件中开标一览表内容与投标文件中相应内容不一致的，以开标一览表为准。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（2）大写金额和小写金额不一致的，以大写金额为准。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（3）单价金额小数点或者百分比有明显错位的，以开标一览表的总价为准，并修改单价。</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（4）总价金额与按单价汇总金额不一致的，以单价金额计算结果为准。</w:t>
      </w:r>
      <w:r/>
    </w:p>
    <w:p>
      <w:pPr>
        <w:ind w:firstLine="480"/>
        <w:jc w:val="left"/>
        <w:keepLines w:val="0"/>
        <w:keepNext w:val="0"/>
        <w:pageBreakBefore w:val="0"/>
        <w:spacing w:line="440" w:lineRule="exact"/>
        <w:widowControl w:val="off"/>
        <w:rPr>
          <w:rFonts w:hint="eastAsia"/>
          <w:color w:val="auto"/>
          <w:sz w:val="24"/>
          <w:highlight w:val="none"/>
        </w:rPr>
      </w:pPr>
      <w:r>
        <w:rPr>
          <w:rFonts w:hint="eastAsia"/>
          <w:color w:val="auto"/>
          <w:sz w:val="24"/>
          <w:highlight w:val="none"/>
        </w:rPr>
        <w:t xml:space="preserve">同时出现两种以上错误的，按照前款规定的顺序修正。</w:t>
      </w:r>
      <w:r/>
    </w:p>
    <w:p>
      <w:pPr>
        <w:ind w:firstLine="480"/>
        <w:jc w:val="left"/>
        <w:keepLines w:val="0"/>
        <w:keepNext w:val="0"/>
        <w:pageBreakBefore w:val="0"/>
        <w:spacing w:line="440" w:lineRule="exact"/>
        <w:widowControl w:val="off"/>
        <w:rPr>
          <w:rFonts w:hint="eastAsia"/>
          <w:color w:val="auto"/>
          <w:sz w:val="24"/>
          <w:highlight w:val="none"/>
        </w:rPr>
      </w:pPr>
      <w:r>
        <w:rPr>
          <w:rFonts w:hint="eastAsia"/>
          <w:color w:val="auto"/>
          <w:sz w:val="24"/>
          <w:highlight w:val="none"/>
        </w:rPr>
        <w:t xml:space="preserve">26.5 磋商小组将按上述修正错误的方法调整投标文件中的投标报价，并通过“苏采云”系统告知投标人，调整后的价格对投标人具有约束力。如果投标人不接受修正后的价格，则其投标将被拒绝。</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27</w:t>
      </w:r>
      <w:r>
        <w:rPr>
          <w:color w:val="auto"/>
          <w:sz w:val="24"/>
          <w:highlight w:val="none"/>
        </w:rPr>
        <w:t xml:space="preserve">、磋商程序</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27</w:t>
      </w:r>
      <w:r>
        <w:rPr>
          <w:color w:val="auto"/>
          <w:sz w:val="24"/>
          <w:highlight w:val="none"/>
        </w:rPr>
        <w:t xml:space="preserve">.1 对于通过资格审查和符合性审查的供应商，磋商小组将集中与单一供应商分别进行磋商。</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已提交响应文件的供应商，在提交最后报价之前，可以根据磋商情况退出磋商采购，应在“苏采云”系统中提交“退出磋商函”，并加盖CA电子公章。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27</w:t>
      </w:r>
      <w:r>
        <w:rPr>
          <w:color w:val="auto"/>
          <w:sz w:val="24"/>
          <w:highlight w:val="none"/>
        </w:rPr>
        <w:t xml:space="preserve">.2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keepLines w:val="0"/>
        <w:keepNext w:val="0"/>
        <w:pageBreakBefore w:val="0"/>
        <w:spacing w:line="440" w:lineRule="exact"/>
        <w:widowControl w:val="off"/>
        <w:rPr>
          <w:rFonts w:hint="default" w:eastAsia="宋体"/>
          <w:b/>
          <w:bCs/>
          <w:color w:val="auto"/>
          <w:sz w:val="24"/>
          <w:highlight w:val="none"/>
          <w:lang w:val="en-US" w:eastAsia="zh-CN"/>
        </w:rPr>
      </w:pPr>
      <w:r>
        <w:rPr>
          <w:color w:val="auto"/>
          <w:sz w:val="24"/>
          <w:highlight w:val="none"/>
        </w:rPr>
        <w:t xml:space="preserve">供应商未在磋商小组规定的时间内在“苏采云”系统中提交最后报价的视为放弃磋商，其响应文件按无效响应处理。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28</w:t>
      </w:r>
      <w:r>
        <w:rPr>
          <w:color w:val="auto"/>
          <w:sz w:val="24"/>
          <w:highlight w:val="none"/>
        </w:rPr>
        <w:t xml:space="preserve">、评审方法与评审标准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28</w:t>
      </w:r>
      <w:r>
        <w:rPr>
          <w:color w:val="auto"/>
          <w:sz w:val="24"/>
          <w:highlight w:val="none"/>
        </w:rPr>
        <w:t xml:space="preserve">.1 评审方法。详见本磋商文件第五章。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28</w:t>
      </w:r>
      <w:r>
        <w:rPr>
          <w:color w:val="auto"/>
          <w:sz w:val="24"/>
          <w:highlight w:val="none"/>
        </w:rPr>
        <w:t xml:space="preserve">.2 评审标准。详见本磋商文件第五章。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29</w:t>
      </w:r>
      <w:r>
        <w:rPr>
          <w:color w:val="auto"/>
          <w:sz w:val="24"/>
          <w:highlight w:val="none"/>
        </w:rPr>
        <w:t xml:space="preserve">、未实质性响应磋商文件的情形和采购活动终止</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29</w:t>
      </w:r>
      <w:r>
        <w:rPr>
          <w:color w:val="auto"/>
          <w:sz w:val="24"/>
          <w:highlight w:val="none"/>
        </w:rPr>
        <w:t xml:space="preserve">.1 未实质性响应磋商文件的情形：</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（1）供应商未按照磋商文件要求提交（上传）电子响应文件的。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（2）供应商在“苏采云”系统规定的时间内未成功解密电子响应文件的。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（3）供应商不具备磋商文件中规定的资格要求的。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（4）未按照磋商文件规定要求签署、盖章的；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（5）未完整上传响应文件电子文档的,或上传的文件打不开的。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6）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（7）不符合磋商文件规定的实质性要求和条件的。（本磋商文件中带★部分为实质性要求和条件）</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8）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（9）供应商未通过符合性审查的。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（10）供应商未按照要求对磋商或者最后报价作出响应的。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（11）供应商提交两个（含两个）以上不同的最后报价的。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1</w:t>
      </w:r>
      <w:r>
        <w:rPr>
          <w:rFonts w:hint="eastAsia" w:eastAsia="宋体"/>
          <w:color w:val="auto"/>
          <w:sz w:val="24"/>
          <w:highlight w:val="none"/>
        </w:rPr>
        <w:t xml:space="preserve">2）供应商的最后报价超过了采购预算或者最高限价的。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13）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（14）响应文件含有采购人不能接受的附加条件的。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（15）响应文件未按照磋商文件要求加盖公章（CA电子公章）的。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（16）其他法律、法规及本磋商文件规定的属于未实质性响应磋商文件的情形。</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（17）不同的供应商响应文件制作机器码、文件创建标识码一致的。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（18）明显不符合技术规范、技术标准的要求的。</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29</w:t>
      </w:r>
      <w:r>
        <w:rPr>
          <w:color w:val="auto"/>
          <w:sz w:val="24"/>
          <w:highlight w:val="none"/>
        </w:rPr>
        <w:t xml:space="preserve">.2 有下列情形之一的，视为供应商串通，响应无效：</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（1）不同供应商的响应文件由同一单位或者个人编制。</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（2）不同供应商委托同一单位或者个人办理磋商事宜。</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（3）不同供应商的响应文件载明的项目管理成员或者联系人员为同一人。</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（4）不同供应商的响应文件异常一致或者最后报价呈规律性差异。</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（5）不同供应商的响应文件相互混装。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29</w:t>
      </w:r>
      <w:r>
        <w:rPr>
          <w:color w:val="auto"/>
          <w:sz w:val="24"/>
          <w:highlight w:val="none"/>
        </w:rPr>
        <w:t xml:space="preserve">.3 采购活动终止的情形：</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（1）因“苏采云”系统故障原因造成开启（解密）不成功的，或者至磋商文件规定的截止时间成功解密电子响应文件的供应商不足三家的。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（2）磋商小组认定磋商文件存在歧义、重大缺陷导致评审工作无法进行，或者磋商文件内容违反国家有关强制性规定的。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（3）除本磋商文件第二章“五、响应文件开启（解密）与评审”第6.2条第三款规定的情形外，符合专业条件的供应商或者对磋商文件作实质响应的供应商不足三家的。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（4）出现影响采购公正的违法、违规行为的。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（5）因重大变故，采购任务取消的。</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六、成交</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30</w:t>
      </w:r>
      <w:r>
        <w:rPr>
          <w:color w:val="auto"/>
          <w:sz w:val="24"/>
          <w:highlight w:val="none"/>
        </w:rPr>
        <w:t xml:space="preserve">、确定成交单位</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30</w:t>
      </w:r>
      <w:r>
        <w:rPr>
          <w:color w:val="auto"/>
          <w:sz w:val="24"/>
          <w:highlight w:val="none"/>
        </w:rPr>
        <w:t xml:space="preserve">.1 </w:t>
      </w:r>
      <w:r>
        <w:rPr>
          <w:rFonts w:hint="eastAsia"/>
          <w:color w:val="auto"/>
          <w:sz w:val="24"/>
          <w:highlight w:val="none"/>
        </w:rPr>
        <w:t xml:space="preserve">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30</w:t>
      </w:r>
      <w:r>
        <w:rPr>
          <w:color w:val="auto"/>
          <w:sz w:val="24"/>
          <w:highlight w:val="none"/>
        </w:rPr>
        <w:t xml:space="preserve">.2 </w:t>
      </w:r>
      <w:r>
        <w:rPr>
          <w:rFonts w:hint="eastAsia"/>
          <w:color w:val="auto"/>
          <w:sz w:val="24"/>
          <w:highlight w:val="none"/>
        </w:rPr>
        <w:t xml:space="preserve">根据采购人的授权，磋商小组直接确定排名第一的成交候选供应商为成交供应商，采购代理机构将在江苏政府采购网发布成交结果公告，成交公告期限为1个工作日。</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30</w:t>
      </w:r>
      <w:r>
        <w:rPr>
          <w:color w:val="auto"/>
          <w:sz w:val="24"/>
          <w:highlight w:val="none"/>
        </w:rPr>
        <w:t xml:space="preserve">.3 若有充分证据证明，成交供应商存在下列情形之一的，一经查实，将被取消成交资格：</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（1）提供虚假材料谋取中标、成交的。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（2）采取不正当手段诋毁、排挤其他供应商的。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（3）与采购人、其他供应商或者</w:t>
      </w:r>
      <w:r>
        <w:rPr>
          <w:rFonts w:hint="eastAsia"/>
          <w:color w:val="auto"/>
          <w:sz w:val="24"/>
          <w:highlight w:val="none"/>
        </w:rPr>
        <w:t xml:space="preserve">采购代理机构</w:t>
      </w:r>
      <w:r>
        <w:rPr>
          <w:color w:val="auto"/>
          <w:sz w:val="24"/>
          <w:highlight w:val="none"/>
        </w:rPr>
        <w:t xml:space="preserve">恶意串通的。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（4）向采购人、采购代理机构行贿或者提供其他不正当利益的。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（5）属于本磋商文件规定的无效情形，但在评审过程中又未被磋商小组发现的。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（6）成交后无正当理由拒不与采购人签订政府采购合同或者未按照磋商文件确定的事项签订政府采购合同的。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（7）将政府采购合同转包的。</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31</w:t>
      </w:r>
      <w:r>
        <w:rPr>
          <w:color w:val="auto"/>
          <w:sz w:val="24"/>
          <w:highlight w:val="none"/>
        </w:rPr>
        <w:t xml:space="preserve">、成交通知书</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31</w:t>
      </w:r>
      <w:r>
        <w:rPr>
          <w:color w:val="auto"/>
          <w:sz w:val="24"/>
          <w:highlight w:val="none"/>
        </w:rPr>
        <w:t xml:space="preserve">.1 成交结果确定后，采购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31</w:t>
      </w:r>
      <w:r>
        <w:rPr>
          <w:color w:val="auto"/>
          <w:sz w:val="24"/>
          <w:highlight w:val="none"/>
        </w:rPr>
        <w:t xml:space="preserve">.2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31</w:t>
      </w:r>
      <w:r>
        <w:rPr>
          <w:color w:val="auto"/>
          <w:sz w:val="24"/>
          <w:highlight w:val="none"/>
        </w:rPr>
        <w:t xml:space="preserve">.3 成交供应商应在成交后七个工作日内，向采购人和采购代理机构各提供一份与电子响应文件一致的纸质打印胶装响应文件，封面、骑缝需加盖公章。</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七、授予合同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32</w:t>
      </w:r>
      <w:r>
        <w:rPr>
          <w:color w:val="auto"/>
          <w:sz w:val="24"/>
          <w:highlight w:val="none"/>
        </w:rPr>
        <w:t xml:space="preserve">、签订合同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32</w:t>
      </w:r>
      <w:r>
        <w:rPr>
          <w:color w:val="auto"/>
          <w:sz w:val="24"/>
          <w:highlight w:val="none"/>
        </w:rPr>
        <w:t xml:space="preserve">.1 成交供应商应当在成交通知书发出之日起三十日内，按照磋商文件和成交供应商响应文件的规定，与采购人签订政府采购合同。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32</w:t>
      </w:r>
      <w:r>
        <w:rPr>
          <w:color w:val="auto"/>
          <w:sz w:val="24"/>
          <w:highlight w:val="none"/>
        </w:rPr>
        <w:t xml:space="preserve">.2 磋商文件、成交供应商的响应文件及磋商采购过程中有关澄清、承诺、磋商响应等文件均应作为合同附件。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32.</w:t>
      </w:r>
      <w:r>
        <w:rPr>
          <w:color w:val="auto"/>
          <w:sz w:val="24"/>
          <w:highlight w:val="none"/>
        </w:rPr>
        <w:t xml:space="preserve">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32.4采购人</w:t>
      </w:r>
      <w:r>
        <w:rPr>
          <w:color w:val="auto"/>
          <w:sz w:val="24"/>
          <w:highlight w:val="none"/>
        </w:rPr>
        <w:t xml:space="preserve">应当在合同签订后</w:t>
      </w:r>
      <w:r>
        <w:rPr>
          <w:rFonts w:hint="eastAsia"/>
          <w:color w:val="auto"/>
          <w:sz w:val="24"/>
          <w:highlight w:val="none"/>
        </w:rPr>
        <w:t xml:space="preserve">2日</w:t>
      </w:r>
      <w:r>
        <w:rPr>
          <w:color w:val="auto"/>
          <w:sz w:val="24"/>
          <w:highlight w:val="none"/>
        </w:rPr>
        <w:t xml:space="preserve">内上传合同至苏采云</w:t>
      </w:r>
      <w:r>
        <w:rPr>
          <w:rFonts w:hint="eastAsia"/>
          <w:color w:val="auto"/>
          <w:sz w:val="24"/>
          <w:highlight w:val="none"/>
        </w:rPr>
        <w:t xml:space="preserve">公示</w:t>
      </w:r>
      <w:r>
        <w:rPr>
          <w:color w:val="auto"/>
          <w:sz w:val="24"/>
          <w:highlight w:val="none"/>
        </w:rPr>
        <w:t xml:space="preserve">。</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33</w:t>
      </w:r>
      <w:r>
        <w:rPr>
          <w:color w:val="auto"/>
          <w:sz w:val="24"/>
          <w:highlight w:val="none"/>
        </w:rPr>
        <w:t xml:space="preserve">、合同标的的追加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33</w:t>
      </w:r>
      <w:r>
        <w:rPr>
          <w:color w:val="auto"/>
          <w:sz w:val="24"/>
          <w:highlight w:val="none"/>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34</w:t>
      </w:r>
      <w:r>
        <w:rPr>
          <w:color w:val="auto"/>
          <w:sz w:val="24"/>
          <w:highlight w:val="none"/>
        </w:rPr>
        <w:t xml:space="preserve">、政府采购履约资金扶持政策</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w:t>
      </w:r>
      <w:r>
        <w:rPr>
          <w:rFonts w:hint="eastAsia"/>
          <w:color w:val="auto"/>
          <w:sz w:val="24"/>
          <w:highlight w:val="none"/>
          <w:lang w:val="en-US" w:eastAsia="zh-CN"/>
        </w:rPr>
        <w:t xml:space="preserve">4</w:t>
      </w:r>
      <w:r>
        <w:rPr>
          <w:color w:val="auto"/>
          <w:sz w:val="24"/>
          <w:highlight w:val="none"/>
        </w:rPr>
        <w:t xml:space="preserve">.1 成交供应商可凭政府采购合同办理融资贷款，详情请见江苏政府采购网“政采贷”专栏</w:t>
      </w:r>
      <w:r>
        <w:rPr>
          <w:rFonts w:hint="eastAsia"/>
          <w:color w:val="auto"/>
          <w:sz w:val="24"/>
          <w:highlight w:val="none"/>
        </w:rPr>
        <w:t xml:space="preserve">。</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35</w:t>
      </w:r>
      <w:r>
        <w:rPr>
          <w:rFonts w:hint="eastAsia"/>
          <w:color w:val="auto"/>
          <w:sz w:val="24"/>
          <w:highlight w:val="none"/>
        </w:rPr>
        <w:t xml:space="preserve">、履约保证金：本项目不收取履约保证金。</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八、询问与质疑</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36</w:t>
      </w:r>
      <w:r>
        <w:rPr>
          <w:color w:val="auto"/>
          <w:sz w:val="24"/>
          <w:highlight w:val="none"/>
        </w:rPr>
        <w:t xml:space="preserve">、询问</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36</w:t>
      </w:r>
      <w:r>
        <w:rPr>
          <w:color w:val="auto"/>
          <w:sz w:val="24"/>
          <w:highlight w:val="none"/>
        </w:rPr>
        <w:t xml:space="preserve">.1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、质疑提出</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.1 提出质疑的供应商应当是参与所质疑项目采购活动的供应商。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.2 供应商认为采购文件、采购过程、采购结果使自己的权益受到损害的，可以在知道或者应知其权益受到损害之日（获取采购文件之日、成交结果公告发布之日）起七个工作日内以书面形式向采购人、</w:t>
      </w:r>
      <w:r>
        <w:rPr>
          <w:rFonts w:hint="eastAsia"/>
          <w:color w:val="auto"/>
          <w:sz w:val="24"/>
          <w:highlight w:val="none"/>
        </w:rPr>
        <w:t xml:space="preserve">采购代理机构</w:t>
      </w:r>
      <w:r>
        <w:rPr>
          <w:color w:val="auto"/>
          <w:sz w:val="24"/>
          <w:highlight w:val="none"/>
        </w:rPr>
        <w:t xml:space="preserve">提出质疑。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未按照采购公告要求获取采购文件的供应商，视为未参与该项目采购活动，不具备对该采购文件提出质疑的法定权利。</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.4 </w:t>
      </w:r>
      <w:r>
        <w:rPr>
          <w:b/>
          <w:bCs/>
          <w:color w:val="auto"/>
          <w:sz w:val="24"/>
          <w:highlight w:val="none"/>
        </w:rPr>
        <w:t xml:space="preserve">质疑函的接收方式为供应商书面原件提交。</w:t>
      </w:r>
      <w:r>
        <w:rPr>
          <w:color w:val="auto"/>
          <w:sz w:val="24"/>
          <w:highlight w:val="none"/>
        </w:rPr>
        <w:t xml:space="preserve">联系部门、联系电话和通讯地址详见磋商文件第一章。质疑实行实名制，不得进行虚假、恶意质疑。</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.5 质疑函应当使用范本，详见磋商文件第六章。供应商提出质疑应当</w:t>
      </w:r>
      <w:r>
        <w:rPr>
          <w:b/>
          <w:bCs/>
          <w:color w:val="auto"/>
          <w:sz w:val="24"/>
          <w:highlight w:val="none"/>
        </w:rPr>
        <w:t xml:space="preserve">提交质疑函和必要的证明材料</w:t>
      </w:r>
      <w:r>
        <w:rPr>
          <w:color w:val="auto"/>
          <w:sz w:val="24"/>
          <w:highlight w:val="none"/>
        </w:rPr>
        <w:t xml:space="preserve">，应当包括下列内容：</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（1）供应商的姓名或者名称、地址、邮编、联系人及联系电话；</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（2）质疑项目的名称、编号；</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（3）具体、明确的质疑事项和与质疑事项相关的请求；</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（4）事实依据；</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（5）必要的法律依据；</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（6）提出质疑的日期；</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（7）</w:t>
      </w:r>
      <w:r>
        <w:rPr>
          <w:b/>
          <w:bCs/>
          <w:color w:val="auto"/>
          <w:sz w:val="24"/>
          <w:highlight w:val="none"/>
        </w:rPr>
        <w:t xml:space="preserve">必要的证明材料</w:t>
      </w:r>
      <w:r>
        <w:rPr>
          <w:color w:val="auto"/>
          <w:sz w:val="24"/>
          <w:highlight w:val="none"/>
        </w:rPr>
        <w:t xml:space="preserve">；</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w:t>
      </w:r>
      <w:r>
        <w:rPr>
          <w:rFonts w:hint="eastAsia"/>
          <w:color w:val="auto"/>
          <w:sz w:val="24"/>
          <w:highlight w:val="none"/>
          <w:lang w:val="en-US" w:eastAsia="zh-CN"/>
        </w:rPr>
        <w:t xml:space="preserve">8</w:t>
      </w:r>
      <w:r>
        <w:rPr>
          <w:color w:val="auto"/>
          <w:sz w:val="24"/>
          <w:highlight w:val="none"/>
        </w:rPr>
        <w:t xml:space="preserve">）营业执照复印件及授权委托书原件、法定代表人（单位负责人）身份证复印件、委托代理人身份证复印件。</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38</w:t>
      </w:r>
      <w:r>
        <w:rPr>
          <w:color w:val="auto"/>
          <w:sz w:val="24"/>
          <w:highlight w:val="none"/>
        </w:rPr>
        <w:t xml:space="preserve">、质疑函的受理和答复</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38</w:t>
      </w:r>
      <w:r>
        <w:rPr>
          <w:color w:val="auto"/>
          <w:sz w:val="24"/>
          <w:highlight w:val="none"/>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38</w:t>
      </w:r>
      <w:r>
        <w:rPr>
          <w:color w:val="auto"/>
          <w:sz w:val="24"/>
          <w:highlight w:val="none"/>
        </w:rPr>
        <w:t xml:space="preserve">.2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w:t>
      </w:r>
      <w:r>
        <w:rPr>
          <w:rFonts w:hint="eastAsia"/>
          <w:color w:val="auto"/>
          <w:sz w:val="24"/>
          <w:highlight w:val="none"/>
          <w:lang w:val="en-US" w:eastAsia="zh-CN"/>
        </w:rPr>
        <w:t xml:space="preserve">8</w:t>
      </w:r>
      <w:r>
        <w:rPr>
          <w:color w:val="auto"/>
          <w:sz w:val="24"/>
          <w:highlight w:val="none"/>
        </w:rPr>
        <w:t xml:space="preserve">.3 对不符合质疑要求的，采购人、采购代理机构有权要求其补充必要的证明材料，质疑供应商未在法定时间内补充必要的证明材料的，视同放弃质疑。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w:t>
      </w:r>
      <w:r>
        <w:rPr>
          <w:rFonts w:hint="eastAsia"/>
          <w:color w:val="auto"/>
          <w:sz w:val="24"/>
          <w:highlight w:val="none"/>
          <w:lang w:val="en-US" w:eastAsia="zh-CN"/>
        </w:rPr>
        <w:t xml:space="preserve">8</w:t>
      </w:r>
      <w:r>
        <w:rPr>
          <w:color w:val="auto"/>
          <w:sz w:val="24"/>
          <w:highlight w:val="none"/>
        </w:rPr>
        <w:t xml:space="preserve">.4 以下情形的质疑依法不予受理：</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（1）内容不符合《政府采购质疑和投诉办法》第十二条规定的质疑。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（2）超出政府采购法定期限的质疑。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（3）以传真、电子邮件等方式提交的非原件形式的质疑。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（4）未参与采购活动或在采购活动中自身权益未受到损害的供应商提出的质疑。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（5）供应商组成联合体，联合体中任何一方或多方未按要求签字（盖章）、加盖公章的质疑。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w:t>
      </w:r>
      <w:r>
        <w:rPr>
          <w:rFonts w:hint="eastAsia"/>
          <w:color w:val="auto"/>
          <w:sz w:val="24"/>
          <w:highlight w:val="none"/>
          <w:lang w:val="en-US" w:eastAsia="zh-CN"/>
        </w:rPr>
        <w:t xml:space="preserve">8</w:t>
      </w:r>
      <w:r>
        <w:rPr>
          <w:color w:val="auto"/>
          <w:sz w:val="24"/>
          <w:highlight w:val="none"/>
        </w:rPr>
        <w:t xml:space="preserve">.5 采购人、采购代理机构依法受理的质疑，将按照政府采购有关规定，在法定期限内作出答复。</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九、政府采购政策功能</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39</w:t>
      </w:r>
      <w:r>
        <w:rPr>
          <w:rFonts w:hint="eastAsia" w:ascii="宋体" w:hAnsi="宋体" w:eastAsia="宋体" w:cs="宋体"/>
          <w:color w:val="auto"/>
          <w:sz w:val="24"/>
          <w:highlight w:val="none"/>
        </w:rPr>
        <w:t xml:space="preserve">、落实的政府采购政策</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39.1</w:t>
      </w:r>
      <w:r>
        <w:rPr>
          <w:rFonts w:hint="eastAsia" w:ascii="宋体" w:hAnsi="宋体" w:eastAsia="宋体" w:cs="宋体"/>
          <w:color w:val="auto"/>
          <w:sz w:val="24"/>
          <w:highlight w:val="none"/>
        </w:rPr>
        <w:t xml:space="preserve">对于小型企业、微型企业、监狱企业、残疾人福利性单位报价以扣除优惠比率后的价格参与评审，但不作为成交价和合同签约价。成交价和合同签约价仍以其投标报价为准。</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39.2</w:t>
      </w:r>
      <w:r>
        <w:rPr>
          <w:rFonts w:hint="eastAsia" w:ascii="宋体" w:hAnsi="宋体" w:eastAsia="宋体" w:cs="宋体"/>
          <w:color w:val="auto"/>
          <w:sz w:val="24"/>
          <w:highlight w:val="none"/>
        </w:rPr>
        <w:t xml:space="preserve">价格给予扣除标准：</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宋体"/>
          <w:color w:val="auto"/>
          <w:sz w:val="24"/>
          <w:highlight w:val="none"/>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服务全部由小型企业、微型企业、监狱企业、残疾人福利性单位承接的投标报价给予10%的扣除，用扣除后的价格参与评审。</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本项目价格扣除计算方法如下：参与报价得分计算的价格＝供应商的投标报价-小型企业、微型企业、监狱企业、残疾人福利性单位的投标报价×10%。</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39.3</w:t>
      </w:r>
      <w:r>
        <w:rPr>
          <w:rFonts w:hint="eastAsia" w:ascii="宋体" w:hAnsi="宋体" w:eastAsia="宋体" w:cs="宋体"/>
          <w:color w:val="auto"/>
          <w:sz w:val="24"/>
          <w:highlight w:val="none"/>
        </w:rPr>
        <w:t xml:space="preserve">参加政府采购活动的供应商应当提供的材料：</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（1）供应商为中型企业、小型企业、微型企业的，提供《中小企业声明函》（第六部分“</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文件格式”）。</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（2）供应商为残疾人福利性单位的，符合财库〔2017〕141号文件规定条件的残疾人福利性单位视同小型企业、微型企业，提供《残疾人福利性单位声明函》（第六部分“</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文件格式”）。</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（3）供应商为监狱企业的，提供省级以上监狱管理局、戒毒管理局（含新疆生产建设兵团）出具的属于监狱企业的证明文件。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根据《财政部 司法部</w:t>
      </w:r>
      <w:r>
        <w:rPr>
          <w:rFonts w:hint="eastAsia" w:ascii="宋体" w:hAnsi="宋体" w:eastAsia="宋体" w:cs="宋体"/>
          <w:color w:val="auto"/>
          <w:sz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、支持绿色发展</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0.1</w:t>
      </w:r>
      <w:r>
        <w:rPr>
          <w:rFonts w:hint="eastAsia" w:ascii="宋体" w:hAnsi="宋体" w:eastAsia="宋体" w:cs="宋体"/>
          <w:color w:val="auto"/>
          <w:sz w:val="24"/>
          <w:highlight w:val="none"/>
        </w:rPr>
        <w:t xml:space="preserve">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文件要求提供相关产品认证证书。</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0.2</w:t>
      </w:r>
      <w:r>
        <w:rPr>
          <w:rFonts w:hint="eastAsia" w:ascii="宋体" w:hAnsi="宋体" w:eastAsia="宋体" w:cs="宋体"/>
          <w:color w:val="auto"/>
          <w:sz w:val="24"/>
          <w:highlight w:val="none"/>
        </w:rPr>
        <w:t xml:space="preserve">为助力打好污染防治攻坚战，推广使用绿色包装，政府采购项目中涉及商品包装和快递包装的，供应商提供产品及相关快递服务的具体包装要求要参考《商品包装政府采购需求标准（试行）》、《快递包装政府采购需求标准（试行）》。</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0.3</w:t>
      </w:r>
      <w:r>
        <w:rPr>
          <w:rFonts w:hint="eastAsia" w:ascii="宋体" w:hAnsi="宋体" w:eastAsia="宋体" w:cs="宋体"/>
          <w:color w:val="auto"/>
          <w:sz w:val="24"/>
          <w:highlight w:val="none"/>
        </w:rPr>
        <w:t xml:space="preserve">政府采购项目执行《财政部 生态环境部 工业和信息化部关于印发&lt;绿色数据中心政府采购需求标准（试行）&gt;的通知》（财库〔2023〕7号）相关要求。</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sectPr>
          <w:footerReference w:type="default" r:id="rId13"/>
          <w:footerReference w:type="first" r:id="rId14"/>
          <w:footnotePr/>
          <w:endnotePr/>
          <w:type w:val="nextPage"/>
          <w:pgSz w:w="11907" w:h="16840" w:orient="portrait"/>
          <w:pgMar w:top="1440" w:right="1440" w:bottom="1440" w:left="1440" w:header="737" w:footer="737" w:gutter="0"/>
          <w:pgNumType w:start="1"/>
          <w:cols w:num="1" w:sep="0" w:space="1701" w:equalWidth="1"/>
          <w:docGrid w:linePitch="360"/>
          <w:titlePg/>
        </w:sect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0.4</w:t>
      </w:r>
      <w:r>
        <w:rPr>
          <w:rFonts w:hint="eastAsia" w:ascii="宋体" w:hAnsi="宋体" w:eastAsia="宋体" w:cs="宋体"/>
          <w:color w:val="auto"/>
          <w:sz w:val="24"/>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pStyle w:val="867"/>
        <w:rPr>
          <w:rFonts w:ascii="Times New Roman" w:hAnsi="Times New Roman"/>
          <w:color w:val="auto"/>
          <w:sz w:val="36"/>
          <w:szCs w:val="36"/>
          <w:highlight w:val="none"/>
        </w:rPr>
      </w:pPr>
      <w:r/>
      <w:bookmarkStart w:id="33" w:name="_Toc26254"/>
      <w:r/>
      <w:bookmarkStart w:id="34" w:name="_Toc543"/>
      <w:r/>
      <w:bookmarkStart w:id="35" w:name="_Toc3544"/>
      <w:r>
        <w:rPr>
          <w:rFonts w:ascii="Times New Roman" w:hAnsi="Times New Roman"/>
          <w:color w:val="auto"/>
          <w:sz w:val="36"/>
          <w:szCs w:val="36"/>
          <w:highlight w:val="none"/>
        </w:rPr>
        <w:t xml:space="preserve">第三章 </w:t>
      </w:r>
      <w:bookmarkEnd w:id="29"/>
      <w:r/>
      <w:bookmarkEnd w:id="30"/>
      <w:r/>
      <w:bookmarkEnd w:id="33"/>
      <w:r>
        <w:rPr>
          <w:rFonts w:ascii="Times New Roman" w:hAnsi="Times New Roman"/>
          <w:color w:val="auto"/>
          <w:sz w:val="36"/>
          <w:szCs w:val="36"/>
          <w:highlight w:val="none"/>
        </w:rPr>
        <w:t xml:space="preserve">合同文本</w:t>
      </w:r>
      <w:bookmarkEnd w:id="34"/>
      <w:r/>
      <w:bookmarkEnd w:id="35"/>
      <w:r/>
      <w:r/>
    </w:p>
    <w:p>
      <w:pPr>
        <w:ind w:firstLine="480"/>
        <w:spacing w:line="360" w:lineRule="auto"/>
        <w:rPr>
          <w:rStyle w:val="1166"/>
          <w:color w:val="auto"/>
          <w:sz w:val="24"/>
          <w:highlight w:val="none"/>
        </w:rPr>
      </w:pPr>
      <w:r/>
      <w:bookmarkStart w:id="36" w:name="_Toc465856614"/>
      <w:r/>
      <w:bookmarkStart w:id="37" w:name="_Toc12693"/>
      <w:r/>
      <w:r/>
    </w:p>
    <w:p>
      <w:pPr>
        <w:ind w:firstLine="480"/>
        <w:spacing w:line="360" w:lineRule="auto"/>
        <w:rPr>
          <w:rStyle w:val="1166"/>
          <w:color w:val="auto"/>
          <w:sz w:val="24"/>
          <w:highlight w:val="none"/>
        </w:rPr>
      </w:pPr>
      <w:r>
        <w:rPr>
          <w:rStyle w:val="1166"/>
          <w:color w:val="auto"/>
          <w:sz w:val="24"/>
          <w:highlight w:val="none"/>
        </w:rPr>
        <w:t xml:space="preserve">（备注：以下为成交后签订本项目合同的通用条款，成交供应商不得提出实质性的修改，关于专用条款将由采购人与成交供应商结合本项目具体情况协商后签订。签订合同时请删除本条备注。）</w:t>
      </w:r>
      <w:r/>
    </w:p>
    <w:p>
      <w:pPr>
        <w:jc w:val="center"/>
        <w:spacing w:line="560" w:lineRule="exact"/>
        <w:rPr>
          <w:bCs/>
          <w:color w:val="auto"/>
          <w:sz w:val="24"/>
          <w:highlight w:val="none"/>
        </w:rPr>
      </w:pPr>
      <w:r>
        <w:rPr>
          <w:b/>
          <w:color w:val="auto"/>
          <w:sz w:val="32"/>
          <w:szCs w:val="32"/>
          <w:highlight w:val="none"/>
        </w:rPr>
        <w:t xml:space="preserve">政府采购合同</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甲方：</w:t>
      </w:r>
      <w:r>
        <w:rPr>
          <w:b/>
          <w:color w:val="auto"/>
          <w:sz w:val="24"/>
          <w:highlight w:val="none"/>
        </w:rPr>
        <w:t xml:space="preserve">【采购单位】</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乙方：（卖方）_________</w:t>
      </w:r>
      <w:r/>
    </w:p>
    <w:p>
      <w:pPr>
        <w:ind w:firstLine="480"/>
        <w:jc w:val="left"/>
        <w:keepLines w:val="0"/>
        <w:keepNext w:val="0"/>
        <w:pageBreakBefore w:val="0"/>
        <w:spacing w:line="440" w:lineRule="exact"/>
        <w:widowControl w:val="off"/>
        <w:rPr>
          <w:b/>
          <w:color w:val="auto"/>
          <w:sz w:val="24"/>
          <w:highlight w:val="none"/>
        </w:rPr>
      </w:pPr>
      <w:r>
        <w:rPr>
          <w:color w:val="auto"/>
          <w:sz w:val="24"/>
          <w:highlight w:val="none"/>
        </w:rPr>
        <w:t xml:space="preserve">甲、乙双方根据</w:t>
      </w:r>
      <w:r>
        <w:rPr>
          <w:color w:val="auto"/>
          <w:sz w:val="24"/>
          <w:highlight w:val="none"/>
          <w:u w:val="single"/>
        </w:rPr>
        <w:t xml:space="preserve">    </w:t>
      </w:r>
      <w:r>
        <w:rPr>
          <w:color w:val="auto"/>
          <w:sz w:val="24"/>
          <w:szCs w:val="20"/>
          <w:highlight w:val="none"/>
        </w:rPr>
        <w:t xml:space="preserve">年</w:t>
      </w:r>
      <w:r>
        <w:rPr>
          <w:color w:val="auto"/>
          <w:sz w:val="24"/>
          <w:szCs w:val="20"/>
          <w:highlight w:val="none"/>
          <w:u w:val="single"/>
        </w:rPr>
        <w:t xml:space="preserve">   </w:t>
      </w:r>
      <w:r>
        <w:rPr>
          <w:color w:val="auto"/>
          <w:sz w:val="24"/>
          <w:szCs w:val="20"/>
          <w:highlight w:val="none"/>
        </w:rPr>
        <w:t xml:space="preserve">月</w:t>
      </w:r>
      <w:r>
        <w:rPr>
          <w:color w:val="auto"/>
          <w:sz w:val="24"/>
          <w:szCs w:val="20"/>
          <w:highlight w:val="none"/>
          <w:u w:val="single"/>
        </w:rPr>
        <w:t xml:space="preserve">   </w:t>
      </w:r>
      <w:r>
        <w:rPr>
          <w:color w:val="auto"/>
          <w:sz w:val="24"/>
          <w:szCs w:val="20"/>
          <w:highlight w:val="none"/>
        </w:rPr>
        <w:t xml:space="preserve">日</w:t>
      </w:r>
      <w:r>
        <w:rPr>
          <w:b w:val="0"/>
          <w:bCs w:val="0"/>
          <w:color w:val="auto"/>
          <w:sz w:val="24"/>
          <w:szCs w:val="20"/>
          <w:highlight w:val="none"/>
          <w:u w:val="single"/>
        </w:rPr>
        <w:t xml:space="preserve"> </w:t>
      </w:r>
      <w:r>
        <w:rPr>
          <w:b w:val="0"/>
          <w:bCs w:val="0"/>
          <w:color w:val="auto"/>
          <w:sz w:val="24"/>
          <w:highlight w:val="none"/>
          <w:u w:val="single"/>
        </w:rPr>
        <w:t xml:space="preserve">【</w:t>
      </w:r>
      <w:r>
        <w:rPr>
          <w:rFonts w:hint="eastAsia"/>
          <w:b w:val="0"/>
          <w:bCs w:val="0"/>
          <w:color w:val="auto"/>
          <w:sz w:val="24"/>
          <w:highlight w:val="none"/>
          <w:u w:val="single"/>
          <w:lang w:val="en-US" w:eastAsia="zh-CN"/>
        </w:rPr>
        <w:t xml:space="preserve">项目</w:t>
      </w:r>
      <w:r>
        <w:rPr>
          <w:b w:val="0"/>
          <w:bCs w:val="0"/>
          <w:color w:val="auto"/>
          <w:sz w:val="24"/>
          <w:highlight w:val="none"/>
          <w:u w:val="single"/>
        </w:rPr>
        <w:t xml:space="preserve">名称】 </w:t>
      </w:r>
      <w:r>
        <w:rPr>
          <w:color w:val="auto"/>
          <w:sz w:val="24"/>
          <w:highlight w:val="none"/>
        </w:rPr>
        <w:t xml:space="preserve">项目（</w:t>
      </w:r>
      <w:r>
        <w:rPr>
          <w:rFonts w:hint="eastAsia"/>
          <w:color w:val="auto"/>
          <w:sz w:val="24"/>
          <w:highlight w:val="none"/>
          <w:lang w:val="en-US" w:eastAsia="zh-CN"/>
        </w:rPr>
        <w:t xml:space="preserve">项目</w:t>
      </w:r>
      <w:r>
        <w:rPr>
          <w:color w:val="auto"/>
          <w:sz w:val="24"/>
          <w:highlight w:val="none"/>
        </w:rPr>
        <w:t xml:space="preserve">编号：</w:t>
      </w:r>
      <w:r>
        <w:rPr>
          <w:color w:val="auto"/>
          <w:sz w:val="24"/>
          <w:highlight w:val="none"/>
          <w:u w:val="single"/>
        </w:rPr>
        <w:t xml:space="preserve">【</w:t>
      </w:r>
      <w:r>
        <w:rPr>
          <w:rFonts w:hint="eastAsia"/>
          <w:color w:val="auto"/>
          <w:sz w:val="24"/>
          <w:highlight w:val="none"/>
          <w:u w:val="single"/>
          <w:lang w:val="en-US" w:eastAsia="zh-CN"/>
        </w:rPr>
        <w:t xml:space="preserve">项目</w:t>
      </w:r>
      <w:r>
        <w:rPr>
          <w:color w:val="auto"/>
          <w:sz w:val="24"/>
          <w:highlight w:val="none"/>
          <w:u w:val="single"/>
        </w:rPr>
        <w:t xml:space="preserve">编号】</w:t>
      </w:r>
      <w:r>
        <w:rPr>
          <w:color w:val="auto"/>
          <w:sz w:val="24"/>
          <w:highlight w:val="none"/>
        </w:rPr>
        <w:t xml:space="preserve">）</w:t>
      </w:r>
      <w:r>
        <w:rPr>
          <w:rFonts w:hint="eastAsia"/>
          <w:color w:val="auto"/>
          <w:sz w:val="24"/>
          <w:highlight w:val="none"/>
          <w:lang w:val="en-US" w:eastAsia="zh-CN"/>
        </w:rPr>
        <w:t xml:space="preserve">采购</w:t>
      </w:r>
      <w:r>
        <w:rPr>
          <w:color w:val="auto"/>
          <w:sz w:val="24"/>
          <w:highlight w:val="none"/>
        </w:rPr>
        <w:t xml:space="preserve">的结果，签订本合同。</w:t>
      </w:r>
      <w:r/>
    </w:p>
    <w:p>
      <w:pPr>
        <w:pStyle w:val="891"/>
        <w:ind w:firstLine="482"/>
        <w:jc w:val="left"/>
        <w:keepLines w:val="0"/>
        <w:keepNext w:val="0"/>
        <w:pageBreakBefore w:val="0"/>
        <w:spacing w:line="440" w:lineRule="exact"/>
        <w:widowControl w:val="off"/>
        <w:rPr>
          <w:rFonts w:hAnsi="宋体"/>
          <w:b/>
          <w:color w:val="auto"/>
          <w:sz w:val="24"/>
          <w:szCs w:val="24"/>
          <w:highlight w:val="none"/>
        </w:rPr>
      </w:pPr>
      <w:r/>
      <w:bookmarkStart w:id="38" w:name="_Toc3379"/>
      <w:r/>
      <w:bookmarkStart w:id="39" w:name="_Toc22591"/>
      <w:r>
        <w:rPr>
          <w:rFonts w:hint="eastAsia" w:hAnsi="宋体"/>
          <w:b/>
          <w:color w:val="auto"/>
          <w:sz w:val="24"/>
          <w:szCs w:val="24"/>
          <w:highlight w:val="none"/>
        </w:rPr>
        <w:t xml:space="preserve">一、采购标的</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ascii="宋体" w:hAnsi="宋体"/>
          <w:color w:val="auto"/>
          <w:sz w:val="24"/>
          <w:highlight w:val="none"/>
        </w:rPr>
        <w:t xml:space="preserve">各中标单位和相关部门严格按照市残联下发的《连云港市市区残疾人托养服务实施方案》（连残发【20</w:t>
      </w:r>
      <w:r>
        <w:rPr>
          <w:rFonts w:hint="eastAsia" w:ascii="宋体" w:hAnsi="宋体"/>
          <w:color w:val="auto"/>
          <w:sz w:val="24"/>
          <w:highlight w:val="none"/>
        </w:rPr>
        <w:t xml:space="preserve">21】24 号）、《连云港市寄宿制托养机构膳食管理办法》（连残发【2022】49 号）、《 关于印发连云港市残疾人托养服务机构安全管理规范的通知》（连残发【2022】52 号）《连云港市残疾人托养服务规范（试行）》（连残发【2022】65 号）、《连云港市市区残疾人寄宿制托养服务考核评估和经费拨付管理办法（试行）》（连残发【2022】67 号）、《灌云县残疾人托养服务实施方案》（灌残发【2022】47 号）、《关于灌云县重度失能残疾托养机构基本标准的通知》（灌残发【2022】62 号）文件要求开展相关工作。</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ascii="宋体" w:hAnsi="宋体"/>
          <w:color w:val="auto"/>
          <w:sz w:val="24"/>
          <w:highlight w:val="none"/>
        </w:rPr>
        <w:t xml:space="preserve">1.1服务</w:t>
      </w:r>
      <w:r>
        <w:rPr>
          <w:rFonts w:hint="eastAsia" w:ascii="宋体" w:hAnsi="宋体"/>
          <w:color w:val="auto"/>
          <w:sz w:val="24"/>
          <w:highlight w:val="none"/>
          <w:lang w:val="en-US" w:eastAsia="zh-CN"/>
        </w:rPr>
        <w:t xml:space="preserve">内容</w:t>
      </w:r>
      <w:r>
        <w:rPr>
          <w:rFonts w:hint="eastAsia" w:ascii="宋体" w:hAnsi="宋体"/>
          <w:color w:val="auto"/>
          <w:sz w:val="24"/>
          <w:highlight w:val="none"/>
        </w:rPr>
        <w:t xml:space="preserve">：</w:t>
      </w:r>
      <w:r/>
    </w:p>
    <w:p>
      <w:pPr>
        <w:pStyle w:val="912"/>
        <w:ind w:firstLine="480"/>
        <w:keepLines w:val="0"/>
        <w:keepNext w:val="0"/>
        <w:pageBreakBefore w:val="0"/>
        <w:spacing w:before="0" w:beforeAutospacing="0" w:after="0" w:afterAutospacing="0" w:line="440" w:lineRule="exact"/>
        <w:rPr>
          <w:rFonts w:hint="default" w:ascii="宋体" w:hAnsi="宋体" w:eastAsia="宋体"/>
          <w:color w:val="auto"/>
          <w:sz w:val="24"/>
          <w:highlight w:val="none"/>
          <w:lang w:val="en-US" w:eastAsia="zh-CN"/>
        </w:rPr>
      </w:pPr>
      <w:r>
        <w:rPr>
          <w:rFonts w:hint="eastAsia"/>
          <w:color w:val="auto"/>
          <w:sz w:val="24"/>
          <w:highlight w:val="none"/>
          <w:lang w:val="en-US" w:eastAsia="zh-CN"/>
        </w:rPr>
        <w:t xml:space="preserve">1.1.1</w:t>
      </w:r>
      <w:r>
        <w:rPr>
          <w:rFonts w:hint="eastAsia" w:ascii="宋体" w:hAnsi="宋体"/>
          <w:color w:val="auto"/>
          <w:sz w:val="24"/>
          <w:highlight w:val="none"/>
        </w:rPr>
        <w:t xml:space="preserve">服务</w:t>
      </w:r>
      <w:r>
        <w:rPr>
          <w:rFonts w:hint="eastAsia" w:ascii="宋体" w:hAnsi="宋体"/>
          <w:color w:val="auto"/>
          <w:sz w:val="24"/>
          <w:highlight w:val="none"/>
          <w:lang w:val="en-US" w:eastAsia="zh-CN"/>
        </w:rPr>
        <w:t xml:space="preserve">内容</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（1）生活照料和护理：为服务对象提供日常生活照顾、护理以及健康生活所需的基本服务。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生活自理能力训练：为服务对象提供其能力范围内的衣食住行等日常生活基本能力训练服务。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社会适应能力训练：为服务对象提供有针对性的社会适应能力康复训练服务、基本的文化体育娱乐等休闲活动服务和一般性心理咨询辅导服务务，通过特定场景或模拟重现等方式帮助服务对象了解、熟悉社会场景，克服或缓解心理和行为障碍，改善不良意识、行为和消极倾向，逐渐掌握社会交往的基本技能，为适宜的服务对象提供参与真实社会活动的机会。</w:t>
      </w:r>
      <w:r/>
    </w:p>
    <w:p>
      <w:pPr>
        <w:ind w:firstLine="480"/>
        <w:keepLines w:val="0"/>
        <w:keepNext w:val="0"/>
        <w:pageBreakBefore w:val="0"/>
        <w:spacing w:line="44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职业康复和劳动技能训练：根据服务对象的情况有针对性地提供适合其身体和心理条件状况的技能培训课程和训练服务，为服务对象提供自愿参与简单生产劳动的机会，对有一定劳动能力并有就业意愿的服务对象进行就业训练和职业康复服务。</w:t>
      </w:r>
      <w:r>
        <w:rPr>
          <w:rFonts w:hint="eastAsia" w:ascii="宋体" w:hAnsi="宋体" w:cs="宋体"/>
          <w:color w:val="auto"/>
          <w:sz w:val="24"/>
          <w:szCs w:val="24"/>
          <w:highlight w:val="none"/>
          <w:lang w:eastAsia="zh-CN"/>
        </w:rPr>
        <w:br/>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辅助性就业：针对精神、智力和重度残疾人因劳动就业能力不足，无法进入竞争性就业市场的实际状况，通过集中组织残疾人参加适当生产劳动，帮助其提高劳动技能、改善身体生活状况，寄宿制托养机构可设劳动车间、辅助性就业工厂等，安排工疗、农疗等庇护性劳动项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）运动功能训练：为已接受过医疗康复服务的服务对象开展以运动功能和日常生活活动为主的运动康复训练，增强其生活自理能力和参与社会生活的能力，并为服务对象提供必要的医疗卫生保健服务。</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）医疗服务：配置专业医务人员和护士，为服务对象提供专业的医疗康复、卫生保健和常见病、多发病、日常药品发放等服务。</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color w:val="auto"/>
          <w:sz w:val="24"/>
          <w:highlight w:val="none"/>
          <w:lang w:val="en-US" w:eastAsia="zh-CN"/>
        </w:rPr>
        <w:t xml:space="preserve">1.1.2</w:t>
      </w:r>
      <w:r>
        <w:rPr>
          <w:rFonts w:hint="eastAsia" w:ascii="宋体" w:hAnsi="宋体"/>
          <w:color w:val="auto"/>
          <w:sz w:val="24"/>
          <w:highlight w:val="none"/>
        </w:rPr>
        <w:t xml:space="preserve">服务方式</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ascii="宋体" w:hAnsi="宋体"/>
          <w:color w:val="auto"/>
          <w:sz w:val="24"/>
          <w:highlight w:val="none"/>
        </w:rPr>
        <w:t xml:space="preserve">按照《连云港市残疾人托养服务实施方案》内容要求，以残疾人需求为导向，采用 24 小时集中居住和照料模式，主要提供生活照料及护理、生活自理和社会适应能力训练等服务，更好的为残疾人提供针对性的寄宿制托养服务。</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color w:val="auto"/>
          <w:sz w:val="24"/>
          <w:highlight w:val="none"/>
          <w:lang w:val="en-US" w:eastAsia="zh-CN"/>
        </w:rPr>
        <w:t xml:space="preserve">1.1.3</w:t>
      </w:r>
      <w:r>
        <w:rPr>
          <w:rFonts w:hint="eastAsia" w:ascii="宋体" w:hAnsi="宋体"/>
          <w:color w:val="auto"/>
          <w:sz w:val="24"/>
          <w:highlight w:val="none"/>
        </w:rPr>
        <w:t xml:space="preserve">服务对象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具有灌云县户籍，持有《中华人民共和国残疾人证》（第二代），年龄在15-59 周岁长期卧床或严重行为障碍的生活明显不能自理、家庭无照护能力的低保家庭、低收入家庭、“一户多残 ”家庭、享受“两项补贴 ”家庭中无固定收入重残生活补贴的智力、精神、肢体残疾人。</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具有灌云县户籍，持有《中华人民共和国残疾人证》（第二代），年龄在15-59 周岁</w:t>
      </w:r>
      <w:r>
        <w:rPr>
          <w:rFonts w:hint="eastAsia" w:ascii="宋体" w:hAnsi="宋体" w:cs="宋体"/>
          <w:color w:val="auto"/>
          <w:sz w:val="24"/>
          <w:szCs w:val="24"/>
          <w:highlight w:val="none"/>
          <w:lang w:val="en-US" w:eastAsia="zh-CN"/>
        </w:rPr>
        <w:t xml:space="preserve">有一定行为障碍的具有半自理或自理能力的</w:t>
      </w:r>
      <w:r>
        <w:rPr>
          <w:rFonts w:hint="eastAsia" w:ascii="宋体" w:hAnsi="宋体" w:eastAsia="宋体" w:cs="宋体"/>
          <w:color w:val="auto"/>
          <w:sz w:val="24"/>
          <w:szCs w:val="24"/>
          <w:highlight w:val="none"/>
        </w:rPr>
        <w:t xml:space="preserve">低保家庭、低收入家庭、“一户多残 ”家庭、享受“两项补贴 ”家庭中无固定收入重残生活补贴的</w:t>
      </w:r>
      <w:r>
        <w:rPr>
          <w:rFonts w:hint="eastAsia" w:ascii="宋体" w:hAnsi="宋体" w:cs="宋体"/>
          <w:color w:val="auto"/>
          <w:sz w:val="24"/>
          <w:szCs w:val="24"/>
          <w:highlight w:val="none"/>
          <w:lang w:val="en-US" w:eastAsia="zh-CN"/>
        </w:rPr>
        <w:t xml:space="preserve">无业轻度</w:t>
      </w:r>
      <w:r>
        <w:rPr>
          <w:rFonts w:hint="eastAsia" w:ascii="宋体" w:hAnsi="宋体" w:eastAsia="宋体" w:cs="宋体"/>
          <w:color w:val="auto"/>
          <w:sz w:val="24"/>
          <w:szCs w:val="24"/>
          <w:highlight w:val="none"/>
        </w:rPr>
        <w:t xml:space="preserve">智力、精神</w:t>
      </w:r>
      <w:r>
        <w:rPr>
          <w:rFonts w:hint="eastAsia" w:ascii="宋体" w:hAnsi="宋体" w:cs="宋体"/>
          <w:color w:val="auto"/>
          <w:sz w:val="24"/>
          <w:szCs w:val="24"/>
          <w:highlight w:val="none"/>
          <w:lang w:val="en-US" w:eastAsia="zh-CN"/>
        </w:rPr>
        <w:t xml:space="preserve">和重度</w:t>
      </w:r>
      <w:r>
        <w:rPr>
          <w:rFonts w:hint="eastAsia" w:ascii="宋体" w:hAnsi="宋体" w:eastAsia="宋体" w:cs="宋体"/>
          <w:color w:val="auto"/>
          <w:sz w:val="24"/>
          <w:szCs w:val="24"/>
          <w:highlight w:val="none"/>
        </w:rPr>
        <w:t xml:space="preserve">肢体残疾人。</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color w:val="auto"/>
          <w:sz w:val="24"/>
          <w:highlight w:val="none"/>
          <w:lang w:val="en-US" w:eastAsia="zh-CN"/>
        </w:rPr>
        <w:t xml:space="preserve">1.1.4</w:t>
      </w:r>
      <w:r>
        <w:rPr>
          <w:rFonts w:hint="eastAsia" w:ascii="宋体" w:hAnsi="宋体"/>
          <w:color w:val="auto"/>
          <w:sz w:val="24"/>
          <w:highlight w:val="none"/>
        </w:rPr>
        <w:t xml:space="preserve">服务人数</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ascii="宋体" w:hAnsi="宋体" w:eastAsia="宋体" w:cs="宋体"/>
          <w:color w:val="auto"/>
          <w:sz w:val="24"/>
          <w:szCs w:val="24"/>
          <w:highlight w:val="none"/>
        </w:rPr>
        <w:t xml:space="preserve">暂定</w:t>
      </w:r>
      <w:r>
        <w:rPr>
          <w:rFonts w:hint="eastAsia"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其中重度残疾人暂定人数</w:t>
      </w:r>
      <w:r>
        <w:rPr>
          <w:rFonts w:hint="eastAsia"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人，轻度残疾人暂定人数</w:t>
      </w:r>
      <w:r>
        <w:rPr>
          <w:rFonts w:hint="eastAsia"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人；残疾人类别根据实际招收情况，具体人数以实际托养的人数为准；合同履行期间，实际托养人数不足暂定总数80%时，进行动态招收补齐至暂定总数的80%。</w:t>
      </w:r>
      <w:r/>
    </w:p>
    <w:p>
      <w:pPr>
        <w:pStyle w:val="912"/>
        <w:ind w:firstLine="480"/>
        <w:keepLines w:val="0"/>
        <w:keepNext w:val="0"/>
        <w:pageBreakBefore w:val="0"/>
        <w:spacing w:before="0" w:beforeAutospacing="0" w:after="0" w:afterAutospacing="0" w:line="440" w:lineRule="exact"/>
        <w:rPr>
          <w:color w:val="auto"/>
          <w:szCs w:val="28"/>
          <w:highlight w:val="none"/>
        </w:rPr>
      </w:pPr>
      <w:r>
        <w:rPr>
          <w:rFonts w:hint="eastAsia"/>
          <w:color w:val="auto"/>
          <w:highlight w:val="none"/>
        </w:rPr>
        <w:t xml:space="preserve">1.2 </w:t>
      </w:r>
      <w:r>
        <w:rPr>
          <w:rFonts w:hint="eastAsia"/>
          <w:color w:val="auto"/>
          <w:szCs w:val="28"/>
          <w:highlight w:val="none"/>
        </w:rPr>
        <w:t xml:space="preserve">服务要求：机构必须具备在规定时间内完成托养服务的能力。机构应具备服务对象提供基本的生活照料和护理、生活自理能力训练、社会适应能力辅导服务，以及职业康复与劳动技能训练、运动功能训练等能力。因本项目的特殊性，中标单位须在连云港市灌云县设有服务机构，建筑面积、活动场地及配套设施应满足托养人数、托养服务内容要求，消防设施齐全。机构应建立内设医疗部门或签约专业医疗机构(医师)提供必要的医疗保健服务;内设医疗部门或签约专业医疗机构(医师)应具有诊治残疾人常见病、多发病和处理残疾人突发性疾病的能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1.3服务标准：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（1）生活照料和护理：遵照执行《关于印发&lt;连云港市寄</w:t>
      </w:r>
      <w:r>
        <w:rPr>
          <w:rFonts w:hint="eastAsia" w:ascii="宋体" w:hAnsi="宋体" w:eastAsia="宋体" w:cs="宋体"/>
          <w:color w:val="auto"/>
          <w:sz w:val="24"/>
          <w:szCs w:val="24"/>
          <w:highlight w:val="none"/>
        </w:rPr>
        <w:t xml:space="preserve">宿制托养机构膳食管理办法&gt;的通知》（连残发〔2022〕49 号）文件精神，建立服务机构膳食管理机制，实行属地管理、全程监控，服务机构负责人应当保障残疾人寄宿制托养机构膳食投入并对膳食管理负责，负责制定食堂管理、费用管理、食品安全、采购管理、账务公开等方面的管理制度并督促检查落实情况，建立膳食管理档案。伙食标准按照不低于20 元/人/天执行。每日制定食谱并上墙公告。每天包含四顿，早餐含有鸡蛋或牛奶，搭配一个炒素菜和一个开胃小菜，主食一周不重样。午餐一荤两素一汤和主食。下午茶有水果或点心。晚餐有一荤一素和主食。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根据每人需求提供起床、洗漱、穿脱衣物等起居服务，协助服务对象洗浴或擦身（夏季每天不少于1次，其它季节每周不少于1次）、如厕及便后清洁、身体清洁理发等护理服务，床铺</w:t>
      </w:r>
      <w:r>
        <w:rPr>
          <w:rFonts w:hint="eastAsia" w:ascii="宋体" w:hAnsi="宋体" w:eastAsia="宋体" w:cs="宋体"/>
          <w:color w:val="auto"/>
          <w:sz w:val="24"/>
          <w:szCs w:val="24"/>
          <w:highlight w:val="none"/>
        </w:rPr>
        <w:t xml:space="preserve">整理、室内清洁通风消毒等卫生服务。为有需求的人提供服药、辅具使用、陪护购物等特殊服务。保持服务对象衣服、被物的卫生、整洁、得体，定期换洗贴身内衣，夏季每天换洗，其它季节一周不少于3次；外衣裤，每月至少换洗 2 次；当内、外衣物有明显污渍时，则及时换洗。协助进行户外活动，在正常天气条件下，每天户外活动不少于2小时。每个人入托前都为其提供健康体检服务并记录健康档案，定期提供健康体检服务。长期卧床的托养人员每隔2小时翻身按摩一次。护理患有特殊疾病的服务对象时，应注意观察。为特殊护理的服务对象提供24小时护理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活自理能力训练：指导服务对象进行基本生活自理活动训练，使其能够自行洗漱、如厕、穿衣、吃饭等；指导服务对象学习简单家务和劳动，使其逐渐学会煮饭、择菜、整理床铺、洗衣服、打扫卫生等活动；设计适宜的训练课程，发掘其生活自理能力方面可能存在的其他潜力。如制作面食、烘焙饼干、缝制衣物等；根据服务对象的特点制定适宜的训练计划，训练结果应记录存档，并依此调整或完善训练计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社会适应能力辅导：为服务对象制定社会适应能力辅导计划，根据其恢复和提升情况适时调整社会适应辅导计划；为服务对象普及礼仪知识、法律知识等基本社会行为准则和常识；开展适宜的文化、体育、娱乐活动，可以根据实际情况组织比赛、展示或表演，使其具备基本的人际交往兴趣和能力；指导服务对象在模拟超市、银行、医院、邮局、公共交通等简单社会场景中进行社会适应性训练，提高其参与社会生活的能力；为服务对象提供日常心理疏导和心理健康服务； 以及教育培训、图书阅览、上网和收看收听电视广播等服务。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）职业康复与劳动技能训练:定期开展身体功能评估和劳动能力评估，适时对服务对象的职业适应性进行测评，及时调</w:t>
      </w:r>
      <w:r>
        <w:rPr>
          <w:rFonts w:hint="eastAsia" w:ascii="宋体" w:hAnsi="宋体" w:eastAsia="宋体" w:cs="宋体"/>
          <w:color w:val="auto"/>
          <w:sz w:val="24"/>
          <w:szCs w:val="24"/>
          <w:highlight w:val="none"/>
          <w:lang w:eastAsia="zh-CN"/>
        </w:rPr>
        <w:t xml:space="preserve">整职业康复与劳动技能训练计划;开展与服务对象行为能力相适应的简单基本生产劳动，但在其参与生产劳动之前，应根据个体实际情况进行必要的培训;根据实际情况开设专业的劳动技能培训课程，开发服务对象的职业能力;有条件的托养服务机构还可定期组织技能展示、竞赛等相关活动;为有需要的服务对象提供职业指导、职业心理咨询、职业适应评定、职业康复训练、职业介绍等服务;有条件的机构可与爱心企业等社会力量合作，使部分服务对象实现辅助性就业，获得一定的劳动收入;要合理处理劳动生产成果和可能获得的收入(处理方式和处理结果应记录并存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运动功能训练：为有需求的服务对象提供适当的以运动功能为主的训练，指导其规范使用辅助器具，帮助其巩固医疗康复效果，使其身体运动功能得到恢复或代偿；根据服务对象的身体情况，开展运动功能评估，适时调整训练计划。建立适宜服务对象特点的康复计划，按计划开展康复训练。建立日常康复训练档案，做好服务对象1人1档。由专业机构定期进行康复训练效果评估，评估结果应及时告知服务对象及其监护人。根据服务对象康复训练情况和康复评估效果及时调整康复训练计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）医疗服务：建立医务室。聘</w:t>
      </w:r>
      <w:r>
        <w:rPr>
          <w:rFonts w:hint="eastAsia" w:ascii="宋体" w:hAnsi="宋体" w:eastAsia="宋体" w:cs="宋体"/>
          <w:color w:val="auto"/>
          <w:sz w:val="24"/>
          <w:szCs w:val="24"/>
          <w:highlight w:val="none"/>
        </w:rPr>
        <w:t xml:space="preserve">用执业医师，为服务对象提供医疗、康复训练、卫生保健服务。医务人员每天1次查房问询，医务、护理人员每周至少1次联合查房巡诊。为服务对象每年进行1次常规体检。定期组织服务对象参加健康教育，自我保健、自我护理知识的学习和训练。代发代管药品，应有服务对象监护人的委托书；药品使用应按医嘱执行。接受医疗药品时，应查阅、核对就诊病历卡、处方单等。医疗药品应由专人、专柜保管，避免丢失、损坏和过期失效。应督促或协助服务对象按医嘱服药。对精神类药物的服用，应实施严格监督。代发代管药品的服务工作由医务室指派专门医务人员负责实施。</w:t>
      </w:r>
      <w:r/>
    </w:p>
    <w:p>
      <w:pPr>
        <w:ind w:firstLine="480"/>
        <w:keepLines w:val="0"/>
        <w:keepNext w:val="0"/>
        <w:pageBreakBefore w:val="0"/>
        <w:spacing w:line="440" w:lineRule="exact"/>
        <w:widowControl w:val="off"/>
        <w:rPr>
          <w:rFonts w:hint="eastAsia"/>
          <w:color w:val="auto"/>
          <w:szCs w:val="28"/>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能够尽其所能的为本项目的服务人员提供一定的特色服务，提升本项目的服务质量。</w:t>
      </w:r>
      <w:r/>
    </w:p>
    <w:p>
      <w:pPr>
        <w:pStyle w:val="891"/>
        <w:ind w:firstLine="482"/>
        <w:jc w:val="left"/>
        <w:keepLines w:val="0"/>
        <w:keepNext w:val="0"/>
        <w:pageBreakBefore w:val="0"/>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4</w:t>
      </w:r>
      <w:r>
        <w:rPr>
          <w:rFonts w:ascii="宋体" w:hAnsi="宋体"/>
          <w:color w:val="auto"/>
          <w:sz w:val="24"/>
          <w:highlight w:val="none"/>
        </w:rPr>
        <w:t xml:space="preserve"> 补充条款：</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ascii="宋体" w:hAnsi="宋体"/>
          <w:color w:val="auto"/>
          <w:sz w:val="24"/>
          <w:highlight w:val="none"/>
          <w:u w:val="single"/>
        </w:rPr>
        <w:t xml:space="preserve">   </w:t>
      </w:r>
      <w:r>
        <w:rPr>
          <w:rFonts w:ascii="宋体" w:hAnsi="宋体"/>
          <w:color w:val="auto"/>
          <w:sz w:val="24"/>
          <w:highlight w:val="none"/>
        </w:rPr>
        <w:t xml:space="preserve">。</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二、合同金额</w:t>
      </w:r>
      <w:r/>
    </w:p>
    <w:p>
      <w:pPr>
        <w:pStyle w:val="912"/>
        <w:ind w:firstLine="480"/>
        <w:keepLines w:val="0"/>
        <w:keepNext w:val="0"/>
        <w:pageBreakBefore w:val="0"/>
        <w:spacing w:before="0" w:beforeAutospacing="0" w:after="0" w:afterAutospacing="0" w:line="440" w:lineRule="exact"/>
        <w:rPr>
          <w:color w:val="auto"/>
          <w:szCs w:val="28"/>
          <w:highlight w:val="none"/>
        </w:rPr>
      </w:pPr>
      <w:r>
        <w:rPr>
          <w:rFonts w:hint="eastAsia"/>
          <w:color w:val="auto"/>
          <w:szCs w:val="28"/>
          <w:highlight w:val="none"/>
        </w:rPr>
        <w:t xml:space="preserve">2.1 本合同金额为（大写）：______元整（¥______）人民币。</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2.2本合同为固定单价合同。合同金额为竞争性磋商文件所确定的服务范围内的全部明示和隐含的内容，包含但不限于服务、人员、食宿、交通、办公、器材使用、保险、税金、利润等政策性文件规定及合同包含的所有风险、责任等各项应有费用。</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三、技术资料</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3.1乙方应按采购文件规定的时间完成甲方要求的服务工作，并提供有关技术资料；</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3.2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四、知识产权</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4.1乙方应保证甲方在使用、接受本合同中资料、服务或其任何一部分时不受第三方提出侵犯其专利权、版权、商标权和设计权等知识产权的起诉。一旦出现侵权并影响到甲方使用该服务的，甲方有权解除合同，要求乙方按照合同金额20%支付违约金，并由乙方赔偿造成的甲方全部损失。</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五、产权担保</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5.1乙方保证所交付标的的所有权完全属于乙方且无任何抵押、查封等产权瑕疵。</w:t>
      </w:r>
      <w:r/>
    </w:p>
    <w:p>
      <w:pPr>
        <w:pStyle w:val="891"/>
        <w:ind w:firstLine="482"/>
        <w:jc w:val="left"/>
        <w:keepLines w:val="0"/>
        <w:keepNext w:val="0"/>
        <w:pageBreakBefore w:val="0"/>
        <w:spacing w:line="440" w:lineRule="exact"/>
        <w:rPr>
          <w:rFonts w:hAnsi="宋体"/>
          <w:b/>
          <w:bCs/>
          <w:color w:val="auto"/>
          <w:sz w:val="24"/>
          <w:szCs w:val="24"/>
          <w:highlight w:val="none"/>
        </w:rPr>
      </w:pPr>
      <w:r>
        <w:rPr>
          <w:rFonts w:hint="eastAsia" w:hAnsi="宋体"/>
          <w:b/>
          <w:bCs/>
          <w:color w:val="auto"/>
          <w:sz w:val="24"/>
          <w:szCs w:val="24"/>
          <w:highlight w:val="none"/>
        </w:rPr>
        <w:t xml:space="preserve">六、履约保证金</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6.1本项目不收取履约保证金。</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七、转包或分包</w:t>
      </w:r>
      <w:r/>
    </w:p>
    <w:p>
      <w:pPr>
        <w:pStyle w:val="891"/>
        <w:ind w:firstLine="480"/>
        <w:jc w:val="left"/>
        <w:keepLines w:val="0"/>
        <w:keepNext w:val="0"/>
        <w:pageBreakBefore w:val="0"/>
        <w:spacing w:line="440" w:lineRule="exact"/>
        <w:rPr>
          <w:rFonts w:hint="default" w:hAnsi="宋体" w:eastAsia="宋体"/>
          <w:color w:val="auto"/>
          <w:sz w:val="24"/>
          <w:szCs w:val="24"/>
          <w:highlight w:val="none"/>
          <w:lang w:val="en-US" w:eastAsia="zh-CN"/>
        </w:rPr>
      </w:pPr>
      <w:r>
        <w:rPr>
          <w:rFonts w:hint="eastAsia" w:hAnsi="宋体"/>
          <w:color w:val="auto"/>
          <w:sz w:val="24"/>
          <w:szCs w:val="24"/>
          <w:highlight w:val="none"/>
        </w:rPr>
        <w:t xml:space="preserve">7.1本</w:t>
      </w:r>
      <w:r>
        <w:rPr>
          <w:rFonts w:hint="eastAsia" w:hAnsi="宋体"/>
          <w:color w:val="auto"/>
          <w:sz w:val="24"/>
          <w:szCs w:val="24"/>
          <w:highlight w:val="none"/>
          <w:lang w:val="en-US" w:eastAsia="zh-CN"/>
        </w:rPr>
        <w:t xml:space="preserve">项目允许分包</w:t>
      </w:r>
      <w:r>
        <w:rPr>
          <w:rFonts w:hint="eastAsia" w:hAnsi="宋体"/>
          <w:color w:val="auto"/>
          <w:sz w:val="24"/>
          <w:szCs w:val="24"/>
          <w:highlight w:val="none"/>
        </w:rPr>
        <w:t xml:space="preserve">。</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7.</w:t>
      </w:r>
      <w:r>
        <w:rPr>
          <w:rFonts w:hint="eastAsia" w:hAnsi="宋体"/>
          <w:color w:val="auto"/>
          <w:sz w:val="24"/>
          <w:szCs w:val="24"/>
          <w:highlight w:val="none"/>
          <w:lang w:val="en-US" w:eastAsia="zh-CN"/>
        </w:rPr>
        <w:t xml:space="preserve">2</w:t>
      </w:r>
      <w:r>
        <w:rPr>
          <w:rFonts w:hint="eastAsia" w:hAnsi="宋体"/>
          <w:color w:val="auto"/>
          <w:sz w:val="24"/>
          <w:szCs w:val="24"/>
          <w:highlight w:val="none"/>
        </w:rPr>
        <w:t xml:space="preserve">如有转让和未经甲方同意的分包行为，甲方有权给予终止合同。 </w:t>
      </w:r>
      <w:r/>
    </w:p>
    <w:p>
      <w:pPr>
        <w:ind w:firstLine="482"/>
        <w:jc w:val="left"/>
        <w:keepLines w:val="0"/>
        <w:keepNext w:val="0"/>
        <w:pageBreakBefore w:val="0"/>
        <w:spacing w:line="440" w:lineRule="exact"/>
        <w:rPr>
          <w:rFonts w:ascii="宋体" w:hAnsi="宋体"/>
          <w:b/>
          <w:color w:val="auto"/>
          <w:sz w:val="24"/>
          <w:highlight w:val="none"/>
        </w:rPr>
      </w:pPr>
      <w:r>
        <w:rPr>
          <w:rFonts w:hint="eastAsia" w:ascii="宋体" w:hAnsi="宋体"/>
          <w:b/>
          <w:color w:val="auto"/>
          <w:sz w:val="24"/>
          <w:highlight w:val="none"/>
        </w:rPr>
        <w:t xml:space="preserve">八、服务期限</w:t>
      </w:r>
      <w:r/>
    </w:p>
    <w:p>
      <w:pPr>
        <w:ind w:firstLine="480"/>
        <w:jc w:val="left"/>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8.1服务期限：</w:t>
      </w:r>
      <w:r>
        <w:rPr>
          <w:rFonts w:hint="eastAsia"/>
          <w:color w:val="auto"/>
          <w:sz w:val="24"/>
          <w:highlight w:val="none"/>
          <w:lang w:val="en-US" w:eastAsia="zh-CN"/>
        </w:rPr>
        <w:t xml:space="preserve">1</w:t>
      </w:r>
      <w:r>
        <w:rPr>
          <w:color w:val="auto"/>
          <w:sz w:val="24"/>
          <w:highlight w:val="none"/>
        </w:rPr>
        <w:t xml:space="preserve">年，自合同签订之日起算</w:t>
      </w:r>
      <w:r>
        <w:rPr>
          <w:rFonts w:hint="eastAsia"/>
          <w:color w:val="auto"/>
          <w:sz w:val="24"/>
          <w:highlight w:val="none"/>
        </w:rPr>
        <w:t xml:space="preserve">。</w:t>
      </w:r>
      <w:r/>
    </w:p>
    <w:p>
      <w:pPr>
        <w:pStyle w:val="891"/>
        <w:ind w:firstLine="482"/>
        <w:jc w:val="left"/>
        <w:keepLines w:val="0"/>
        <w:keepNext w:val="0"/>
        <w:pageBreakBefore w:val="0"/>
        <w:spacing w:line="440" w:lineRule="exact"/>
        <w:rPr>
          <w:rFonts w:hAnsi="宋体"/>
          <w:color w:val="auto"/>
          <w:sz w:val="24"/>
          <w:szCs w:val="24"/>
          <w:highlight w:val="none"/>
        </w:rPr>
      </w:pPr>
      <w:r>
        <w:rPr>
          <w:rFonts w:hint="eastAsia" w:hAnsi="宋体"/>
          <w:b/>
          <w:color w:val="auto"/>
          <w:sz w:val="24"/>
          <w:szCs w:val="24"/>
          <w:highlight w:val="none"/>
        </w:rPr>
        <w:t xml:space="preserve">九、合同价款支付</w:t>
      </w:r>
      <w:r/>
    </w:p>
    <w:p>
      <w:pPr>
        <w:pStyle w:val="891"/>
        <w:ind w:firstLine="480"/>
        <w:jc w:val="left"/>
        <w:keepLines w:val="0"/>
        <w:keepNext w:val="0"/>
        <w:pageBreakBefore w:val="0"/>
        <w:spacing w:line="440" w:lineRule="exact"/>
        <w:rPr>
          <w:rFonts w:ascii="宋体" w:hAnsi="宋体" w:eastAsia="宋体" w:cs="宋体"/>
          <w:color w:val="auto"/>
          <w:sz w:val="24"/>
          <w:szCs w:val="24"/>
          <w:highlight w:val="none"/>
        </w:rPr>
      </w:pPr>
      <w:r>
        <w:rPr>
          <w:rFonts w:hint="eastAsia" w:hAnsi="宋体"/>
          <w:bCs/>
          <w:color w:val="auto"/>
          <w:sz w:val="24"/>
          <w:szCs w:val="24"/>
          <w:highlight w:val="none"/>
        </w:rPr>
        <w:t xml:space="preserve">9.1</w:t>
      </w:r>
      <w:r>
        <w:rPr>
          <w:rFonts w:hint="eastAsia" w:hAnsi="宋体" w:cs="宋体"/>
          <w:color w:val="auto"/>
          <w:spacing w:val="-1"/>
          <w:sz w:val="24"/>
          <w:szCs w:val="24"/>
          <w:highlight w:val="none"/>
          <w:lang w:val="en-US" w:eastAsia="zh-CN"/>
        </w:rPr>
        <w:t xml:space="preserve">合同签订后</w:t>
      </w:r>
      <w:r>
        <w:rPr>
          <w:rFonts w:ascii="宋体" w:hAnsi="宋体" w:eastAsia="宋体" w:cs="宋体"/>
          <w:color w:val="auto"/>
          <w:spacing w:val="-1"/>
          <w:sz w:val="24"/>
          <w:szCs w:val="24"/>
          <w:highlight w:val="none"/>
        </w:rPr>
        <w:t xml:space="preserve">，</w:t>
      </w:r>
      <w:r>
        <w:rPr>
          <w:rFonts w:ascii="宋体" w:hAnsi="宋体" w:eastAsia="宋体" w:cs="宋体"/>
          <w:color w:val="auto"/>
          <w:spacing w:val="-2"/>
          <w:sz w:val="24"/>
          <w:szCs w:val="24"/>
          <w:highlight w:val="none"/>
        </w:rPr>
        <w:t xml:space="preserve">按照</w:t>
      </w:r>
      <w:r>
        <w:rPr>
          <w:rFonts w:hint="eastAsia" w:hAnsi="宋体" w:cs="宋体"/>
          <w:color w:val="auto"/>
          <w:spacing w:val="-1"/>
          <w:sz w:val="24"/>
          <w:szCs w:val="24"/>
          <w:highlight w:val="none"/>
          <w:lang w:val="en-US" w:eastAsia="zh-CN"/>
        </w:rPr>
        <w:t xml:space="preserve">每月</w:t>
      </w:r>
      <w:r>
        <w:rPr>
          <w:rFonts w:hint="eastAsia" w:ascii="宋体" w:hAnsi="宋体" w:eastAsia="宋体" w:cs="宋体"/>
          <w:color w:val="auto"/>
          <w:spacing w:val="-2"/>
          <w:sz w:val="24"/>
          <w:szCs w:val="24"/>
          <w:highlight w:val="none"/>
        </w:rPr>
        <w:t xml:space="preserve">审计报告</w:t>
      </w:r>
      <w:r>
        <w:rPr>
          <w:rFonts w:ascii="宋体" w:hAnsi="宋体" w:eastAsia="宋体" w:cs="宋体"/>
          <w:color w:val="auto"/>
          <w:sz w:val="24"/>
          <w:szCs w:val="24"/>
          <w:highlight w:val="none"/>
        </w:rPr>
        <w:t xml:space="preserve">支付</w:t>
      </w:r>
      <w:r>
        <w:rPr>
          <w:rFonts w:hint="eastAsia" w:ascii="宋体" w:hAnsi="宋体" w:eastAsia="宋体" w:cs="宋体"/>
          <w:color w:val="auto"/>
          <w:spacing w:val="-1"/>
          <w:sz w:val="24"/>
          <w:szCs w:val="24"/>
          <w:highlight w:val="none"/>
        </w:rPr>
        <w:t xml:space="preserve">审计结果</w:t>
      </w:r>
      <w:r>
        <w:rPr>
          <w:rFonts w:hint="eastAsia" w:hAnsi="宋体" w:cs="宋体"/>
          <w:color w:val="auto"/>
          <w:spacing w:val="-1"/>
          <w:sz w:val="24"/>
          <w:szCs w:val="24"/>
          <w:highlight w:val="none"/>
          <w:lang w:val="en-US" w:eastAsia="zh-CN"/>
        </w:rPr>
        <w:t xml:space="preserve">的</w:t>
      </w:r>
      <w:r>
        <w:rPr>
          <w:rFonts w:hint="eastAsia" w:hAnsi="宋体" w:cs="宋体"/>
          <w:color w:val="auto"/>
          <w:sz w:val="24"/>
          <w:szCs w:val="24"/>
          <w:highlight w:val="none"/>
          <w:lang w:val="en-US" w:eastAsia="zh-CN"/>
        </w:rPr>
        <w:t xml:space="preserve">80%</w:t>
      </w:r>
      <w:r>
        <w:rPr>
          <w:rFonts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每季度按考核结果补齐或扣除</w:t>
      </w:r>
      <w:r>
        <w:rPr>
          <w:rFonts w:hint="eastAsia" w:hAnsi="宋体" w:cs="宋体"/>
          <w:color w:val="auto"/>
          <w:spacing w:val="-1"/>
          <w:sz w:val="24"/>
          <w:szCs w:val="24"/>
          <w:highlight w:val="none"/>
          <w:lang w:val="en-US" w:eastAsia="zh-CN"/>
        </w:rPr>
        <w:t xml:space="preserve">相应资金</w:t>
      </w:r>
      <w:r>
        <w:rPr>
          <w:rFonts w:hint="eastAsia" w:ascii="宋体" w:hAnsi="宋体" w:eastAsia="宋体" w:cs="宋体"/>
          <w:color w:val="auto"/>
          <w:spacing w:val="-1"/>
          <w:sz w:val="24"/>
          <w:szCs w:val="24"/>
          <w:highlight w:val="none"/>
        </w:rPr>
        <w:t xml:space="preserve">。</w:t>
      </w:r>
      <w:r/>
    </w:p>
    <w:p>
      <w:pPr>
        <w:pStyle w:val="891"/>
        <w:ind w:firstLine="480"/>
        <w:jc w:val="left"/>
        <w:keepLines w:val="0"/>
        <w:keepNext w:val="0"/>
        <w:pageBreakBefore w:val="0"/>
        <w:spacing w:line="440" w:lineRule="exact"/>
        <w:rPr>
          <w:rFonts w:ascii="宋体" w:hAnsi="宋体" w:eastAsia="宋体" w:cs="宋体"/>
          <w:color w:val="auto"/>
          <w:spacing w:val="-2"/>
          <w:sz w:val="24"/>
          <w:szCs w:val="24"/>
          <w:highlight w:val="none"/>
        </w:rPr>
      </w:pPr>
      <w:r>
        <w:rPr>
          <w:rFonts w:hint="eastAsia" w:hAnsi="宋体"/>
          <w:bCs/>
          <w:color w:val="auto"/>
          <w:sz w:val="24"/>
          <w:szCs w:val="24"/>
          <w:highlight w:val="none"/>
        </w:rPr>
        <w:t xml:space="preserve">9.2</w:t>
      </w:r>
      <w:r>
        <w:rPr>
          <w:rFonts w:ascii="宋体" w:hAnsi="宋体" w:eastAsia="宋体" w:cs="宋体"/>
          <w:color w:val="auto"/>
          <w:sz w:val="24"/>
          <w:szCs w:val="24"/>
          <w:highlight w:val="none"/>
        </w:rPr>
        <w:t xml:space="preserve">任何单位和个人不得以任何理由骗取、套取或截留、挪用专项资金，</w:t>
      </w:r>
      <w:r>
        <w:rPr>
          <w:rFonts w:ascii="宋体" w:hAnsi="宋体" w:eastAsia="宋体" w:cs="宋体"/>
          <w:color w:val="auto"/>
          <w:spacing w:val="-10"/>
          <w:sz w:val="24"/>
          <w:szCs w:val="24"/>
          <w:highlight w:val="none"/>
        </w:rPr>
        <w:t xml:space="preserve">或者不按规定使用。存在违纪违法行为的，按照《中华人民共和国预算法》、《中</w:t>
      </w:r>
      <w:r>
        <w:rPr>
          <w:rFonts w:ascii="宋体" w:hAnsi="宋体" w:eastAsia="宋体" w:cs="宋体"/>
          <w:color w:val="auto"/>
          <w:spacing w:val="-3"/>
          <w:sz w:val="24"/>
          <w:szCs w:val="24"/>
          <w:highlight w:val="none"/>
        </w:rPr>
        <w:t xml:space="preserve">华人民共和国公务员法》、《中华人民共和国监察法》、《财政违法行为处罚处分条例》等国家有关法规追究相应责任。涉及犯罪的责任人员，依法移送司法机</w:t>
      </w:r>
      <w:r>
        <w:rPr>
          <w:rFonts w:ascii="宋体" w:hAnsi="宋体" w:eastAsia="宋体" w:cs="宋体"/>
          <w:color w:val="auto"/>
          <w:spacing w:val="-2"/>
          <w:sz w:val="24"/>
          <w:szCs w:val="24"/>
          <w:highlight w:val="none"/>
        </w:rPr>
        <w:t xml:space="preserve">关追究刑事责任。</w:t>
      </w:r>
      <w:r/>
    </w:p>
    <w:p>
      <w:pPr>
        <w:pStyle w:val="891"/>
        <w:ind w:firstLine="480"/>
        <w:jc w:val="left"/>
        <w:keepLines w:val="0"/>
        <w:keepNext w:val="0"/>
        <w:pageBreakBefore w:val="0"/>
        <w:spacing w:line="440" w:lineRule="exact"/>
        <w:rPr>
          <w:rFonts w:ascii="宋体" w:hAnsi="宋体" w:eastAsia="宋体" w:cs="宋体"/>
          <w:color w:val="auto"/>
          <w:spacing w:val="-3"/>
          <w:sz w:val="24"/>
          <w:szCs w:val="24"/>
          <w:highlight w:val="none"/>
        </w:rPr>
      </w:pPr>
      <w:r>
        <w:rPr>
          <w:rFonts w:hint="eastAsia" w:ascii="宋体" w:hAnsi="宋体" w:eastAsia="宋体" w:cs="宋体"/>
          <w:color w:val="auto"/>
          <w:spacing w:val="-2"/>
          <w:sz w:val="24"/>
          <w:szCs w:val="24"/>
          <w:highlight w:val="none"/>
          <w:lang w:val="en-US" w:eastAsia="zh-CN"/>
        </w:rPr>
        <w:t xml:space="preserve">9.3</w:t>
      </w:r>
      <w:r>
        <w:rPr>
          <w:rFonts w:ascii="宋体" w:hAnsi="宋体" w:eastAsia="宋体" w:cs="宋体"/>
          <w:color w:val="auto"/>
          <w:spacing w:val="-3"/>
          <w:sz w:val="24"/>
          <w:szCs w:val="24"/>
          <w:highlight w:val="none"/>
        </w:rPr>
        <w:t xml:space="preserve">收款账户</w:t>
      </w:r>
      <w:r/>
    </w:p>
    <w:p>
      <w:pPr>
        <w:pStyle w:val="891"/>
        <w:ind w:firstLine="480"/>
        <w:jc w:val="left"/>
        <w:keepLines w:val="0"/>
        <w:keepNext w:val="0"/>
        <w:pageBreakBefore w:val="0"/>
        <w:spacing w:line="440" w:lineRule="exact"/>
        <w:rPr>
          <w:rFonts w:hint="default" w:ascii="宋体" w:hAnsi="宋体" w:eastAsia="宋体" w:cs="宋体"/>
          <w:color w:val="auto"/>
          <w:spacing w:val="-3"/>
          <w:sz w:val="24"/>
          <w:szCs w:val="24"/>
          <w:highlight w:val="none"/>
          <w:lang w:val="en-US" w:eastAsia="zh-CN"/>
        </w:rPr>
      </w:pPr>
      <w:r>
        <w:rPr>
          <w:rFonts w:hint="default" w:ascii="宋体" w:hAnsi="宋体" w:eastAsia="宋体" w:cs="宋体"/>
          <w:color w:val="auto"/>
          <w:spacing w:val="-3"/>
          <w:sz w:val="24"/>
          <w:szCs w:val="24"/>
          <w:highlight w:val="none"/>
          <w:lang w:val="en-US" w:eastAsia="zh-CN"/>
        </w:rPr>
        <w:t xml:space="preserve">账户名称：</w:t>
      </w:r>
      <w:r/>
    </w:p>
    <w:p>
      <w:pPr>
        <w:pStyle w:val="891"/>
        <w:ind w:firstLine="480"/>
        <w:jc w:val="left"/>
        <w:keepLines w:val="0"/>
        <w:keepNext w:val="0"/>
        <w:pageBreakBefore w:val="0"/>
        <w:spacing w:line="440" w:lineRule="exact"/>
        <w:rPr>
          <w:rFonts w:hint="default" w:ascii="宋体" w:hAnsi="宋体" w:eastAsia="宋体" w:cs="宋体"/>
          <w:color w:val="auto"/>
          <w:spacing w:val="-3"/>
          <w:sz w:val="24"/>
          <w:szCs w:val="24"/>
          <w:highlight w:val="none"/>
          <w:lang w:val="en-US" w:eastAsia="zh-CN"/>
        </w:rPr>
      </w:pPr>
      <w:r>
        <w:rPr>
          <w:rFonts w:hint="default" w:ascii="宋体" w:hAnsi="宋体" w:eastAsia="宋体" w:cs="宋体"/>
          <w:color w:val="auto"/>
          <w:spacing w:val="-3"/>
          <w:sz w:val="24"/>
          <w:szCs w:val="24"/>
          <w:highlight w:val="none"/>
          <w:lang w:val="en-US" w:eastAsia="zh-CN"/>
        </w:rPr>
        <w:t xml:space="preserve">开户银行：</w:t>
      </w:r>
      <w:r/>
    </w:p>
    <w:p>
      <w:pPr>
        <w:pStyle w:val="891"/>
        <w:ind w:firstLine="480"/>
        <w:jc w:val="left"/>
        <w:keepLines w:val="0"/>
        <w:keepNext w:val="0"/>
        <w:pageBreakBefore w:val="0"/>
        <w:spacing w:line="440" w:lineRule="exact"/>
        <w:rPr>
          <w:rFonts w:hint="default" w:ascii="宋体" w:hAnsi="宋体" w:eastAsia="宋体" w:cs="宋体"/>
          <w:color w:val="auto"/>
          <w:spacing w:val="-3"/>
          <w:sz w:val="24"/>
          <w:szCs w:val="24"/>
          <w:highlight w:val="none"/>
          <w:lang w:val="en-US" w:eastAsia="zh-CN"/>
        </w:rPr>
      </w:pPr>
      <w:r>
        <w:rPr>
          <w:rFonts w:hint="default" w:ascii="宋体" w:hAnsi="宋体" w:eastAsia="宋体" w:cs="宋体"/>
          <w:color w:val="auto"/>
          <w:spacing w:val="-3"/>
          <w:sz w:val="24"/>
          <w:szCs w:val="24"/>
          <w:highlight w:val="none"/>
          <w:lang w:val="en-US" w:eastAsia="zh-CN"/>
        </w:rPr>
        <w:t xml:space="preserve">账号：</w:t>
      </w:r>
      <w:r/>
    </w:p>
    <w:p>
      <w:pPr>
        <w:pStyle w:val="891"/>
        <w:ind w:firstLine="480"/>
        <w:jc w:val="left"/>
        <w:keepLines w:val="0"/>
        <w:keepNext w:val="0"/>
        <w:pageBreakBefore w:val="0"/>
        <w:spacing w:line="440" w:lineRule="exact"/>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9.4乙方申请项目经费前，应向甲方提供项目工作月报，项目财务月报或季报表。</w:t>
      </w:r>
      <w:r/>
    </w:p>
    <w:p>
      <w:pPr>
        <w:pStyle w:val="891"/>
        <w:ind w:firstLine="480"/>
        <w:jc w:val="left"/>
        <w:keepLines w:val="0"/>
        <w:keepNext w:val="0"/>
        <w:pageBreakBefore w:val="0"/>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3"/>
          <w:sz w:val="24"/>
          <w:szCs w:val="24"/>
          <w:highlight w:val="none"/>
          <w:lang w:val="en-US" w:eastAsia="zh-CN"/>
        </w:rPr>
        <w:t xml:space="preserve">9.5</w:t>
      </w:r>
      <w:r>
        <w:rPr>
          <w:rFonts w:ascii="宋体" w:hAnsi="宋体" w:eastAsia="宋体" w:cs="宋体"/>
          <w:color w:val="auto"/>
          <w:spacing w:val="-1"/>
          <w:sz w:val="24"/>
          <w:szCs w:val="24"/>
          <w:highlight w:val="none"/>
        </w:rPr>
        <w:t xml:space="preserve">乙方应在甲方支付项目款前一个星期内向甲方提供正规发票。</w:t>
      </w:r>
      <w:r/>
    </w:p>
    <w:p>
      <w:pPr>
        <w:pStyle w:val="891"/>
        <w:ind w:firstLine="480"/>
        <w:jc w:val="left"/>
        <w:keepLines w:val="0"/>
        <w:keepNext w:val="0"/>
        <w:pageBreakBefore w:val="0"/>
        <w:spacing w:line="440" w:lineRule="exact"/>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9.6</w:t>
      </w:r>
      <w:r>
        <w:rPr>
          <w:rFonts w:ascii="宋体" w:hAnsi="宋体" w:eastAsia="宋体" w:cs="宋体"/>
          <w:color w:val="auto"/>
          <w:spacing w:val="-1"/>
          <w:sz w:val="24"/>
          <w:szCs w:val="24"/>
          <w:highlight w:val="none"/>
        </w:rPr>
        <w:t xml:space="preserve">甲方和乙方因本协议发生的一切费用均以人民币结算及支付。</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十、税费</w:t>
      </w:r>
      <w:r/>
    </w:p>
    <w:p>
      <w:pPr>
        <w:pStyle w:val="891"/>
        <w:ind w:firstLine="480"/>
        <w:jc w:val="left"/>
        <w:keepLines w:val="0"/>
        <w:keepNext w:val="0"/>
        <w:pageBreakBefore w:val="0"/>
        <w:spacing w:line="440" w:lineRule="exact"/>
        <w:rPr>
          <w:rFonts w:hAnsi="宋体"/>
          <w:bCs/>
          <w:color w:val="auto"/>
          <w:sz w:val="24"/>
          <w:szCs w:val="24"/>
          <w:highlight w:val="none"/>
        </w:rPr>
      </w:pPr>
      <w:r>
        <w:rPr>
          <w:rFonts w:hint="eastAsia" w:hAnsi="宋体"/>
          <w:bCs/>
          <w:color w:val="auto"/>
          <w:sz w:val="24"/>
          <w:szCs w:val="24"/>
          <w:highlight w:val="none"/>
        </w:rPr>
        <w:t xml:space="preserve">10.1 本合同执行中相关的一切税费均由乙方负担。</w:t>
      </w:r>
      <w:r/>
    </w:p>
    <w:p>
      <w:pPr>
        <w:ind w:firstLine="482"/>
        <w:jc w:val="left"/>
        <w:keepLines w:val="0"/>
        <w:keepNext w:val="0"/>
        <w:pageBreakBefore w:val="0"/>
        <w:spacing w:line="440" w:lineRule="exact"/>
        <w:rPr>
          <w:rFonts w:ascii="宋体" w:hAnsi="宋体"/>
          <w:b/>
          <w:bCs/>
          <w:color w:val="auto"/>
          <w:sz w:val="24"/>
          <w:highlight w:val="none"/>
        </w:rPr>
      </w:pPr>
      <w:r>
        <w:rPr>
          <w:rFonts w:hint="eastAsia" w:ascii="宋体" w:hAnsi="宋体"/>
          <w:b/>
          <w:bCs/>
          <w:color w:val="auto"/>
          <w:sz w:val="24"/>
          <w:highlight w:val="none"/>
        </w:rPr>
        <w:t xml:space="preserve">十一、甲方权利与义务 </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hAnsi="宋体"/>
          <w:bCs/>
          <w:color w:val="auto"/>
          <w:sz w:val="24"/>
          <w:szCs w:val="24"/>
          <w:highlight w:val="none"/>
          <w:lang w:val="en-US" w:eastAsia="zh-CN"/>
        </w:rPr>
        <w:t xml:space="preserve">11.1</w:t>
      </w:r>
      <w:r>
        <w:rPr>
          <w:rFonts w:hint="eastAsia" w:hAnsi="宋体"/>
          <w:bCs/>
          <w:color w:val="auto"/>
          <w:sz w:val="24"/>
          <w:szCs w:val="24"/>
          <w:highlight w:val="none"/>
        </w:rPr>
        <w:t xml:space="preserve">项目为协议期内实施，甲方随时了解掌握项目工作进度及资金运作情况，每</w:t>
      </w:r>
      <w:r>
        <w:rPr>
          <w:rFonts w:hint="eastAsia" w:ascii="宋体" w:hAnsi="宋体" w:eastAsia="宋体" w:cs="宋体"/>
          <w:color w:val="auto"/>
          <w:sz w:val="24"/>
          <w:highlight w:val="none"/>
        </w:rPr>
        <w:t xml:space="preserve">半年组织财务部门或者委托第三方会计师事务所对乙方资金的使用情况进行审核一次。</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11.2</w:t>
      </w:r>
      <w:r>
        <w:rPr>
          <w:rFonts w:hint="eastAsia" w:ascii="宋体" w:hAnsi="宋体" w:eastAsia="宋体" w:cs="宋体"/>
          <w:color w:val="auto"/>
          <w:sz w:val="24"/>
          <w:highlight w:val="none"/>
        </w:rPr>
        <w:t xml:space="preserve">协调乙方在提供服务过程相关的政府部门和单位。</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11.3</w:t>
      </w:r>
      <w:r>
        <w:rPr>
          <w:rFonts w:hint="eastAsia" w:ascii="宋体" w:hAnsi="宋体" w:eastAsia="宋体" w:cs="宋体"/>
          <w:color w:val="auto"/>
          <w:sz w:val="24"/>
          <w:highlight w:val="none"/>
        </w:rPr>
        <w:t xml:space="preserve">为开展绩效评估，甲方应对乙方制定具体的考评意见。</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11.4</w:t>
      </w:r>
      <w:r>
        <w:rPr>
          <w:rFonts w:hint="eastAsia" w:ascii="宋体" w:hAnsi="宋体" w:eastAsia="宋体" w:cs="宋体"/>
          <w:color w:val="auto"/>
          <w:sz w:val="24"/>
          <w:highlight w:val="none"/>
        </w:rPr>
        <w:t xml:space="preserve">按协议约定及时拨付服务经费。</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11.5</w:t>
      </w:r>
      <w:r>
        <w:rPr>
          <w:rFonts w:hint="eastAsia" w:ascii="宋体" w:hAnsi="宋体" w:eastAsia="宋体" w:cs="宋体"/>
          <w:color w:val="auto"/>
          <w:sz w:val="24"/>
          <w:highlight w:val="none"/>
        </w:rPr>
        <w:t xml:space="preserve">因乙方原因不能履行本协议，或乙方未按照项目要求使用项目经费，或乙方擅自变更服务内容、降低服务质量、减少服务数量的，或乙方未按本协议要求报送项目执行情况的，或乙方发生重大安全事故的，甲方有权终止本协议，甲方有权依据乙方项目实际完成情况及服务质量予以调整项目经费，若因乙方服务质量不合格或者发生重大安全事故给甲方造成损失的，乙方全额赔偿由此给甲方造成的损失。</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十二、乙方的权利与义务 </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12.1</w:t>
      </w:r>
      <w:r>
        <w:rPr>
          <w:rFonts w:hint="eastAsia" w:ascii="宋体" w:hAnsi="宋体" w:eastAsia="宋体" w:cs="宋体"/>
          <w:color w:val="auto"/>
          <w:sz w:val="24"/>
          <w:highlight w:val="none"/>
          <w:lang w:val="en-US" w:eastAsia="zh-CN"/>
        </w:rPr>
        <w:t xml:space="preserve">乙方可要求甲方按本协议的规定按时足额拨付项目经费：</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12.2</w:t>
      </w:r>
      <w:r>
        <w:rPr>
          <w:rFonts w:hint="eastAsia" w:ascii="宋体" w:hAnsi="宋体" w:eastAsia="宋体" w:cs="宋体"/>
          <w:color w:val="auto"/>
          <w:sz w:val="24"/>
          <w:highlight w:val="none"/>
          <w:lang w:val="en-US" w:eastAsia="zh-CN"/>
        </w:rPr>
        <w:t xml:space="preserve">乙方应按照协议规定的时间、服务内容、项目指标完成项目全部服务内容，如实按约定报告项目进展情况。如乙方未能在规定时期内完成全部项目的服务内容，协议到期后应按实际完成情况结算费用，已拨付的经费如已超过结算数，应将相应款项三日内返还甲方。</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12.3</w:t>
      </w:r>
      <w:r>
        <w:rPr>
          <w:rFonts w:hint="eastAsia" w:ascii="宋体" w:hAnsi="宋体" w:eastAsia="宋体" w:cs="宋体"/>
          <w:color w:val="auto"/>
          <w:sz w:val="24"/>
          <w:highlight w:val="none"/>
          <w:lang w:val="en-US" w:eastAsia="zh-CN"/>
        </w:rPr>
        <w:t xml:space="preserve">乙方在履行协议过程中，不得将服务项目委托给第三方。如发生类似情况乙方承担由此而产生的一切法律责任和费用，并赔偿因此给甲方造成的一切损失。</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12.4</w:t>
      </w:r>
      <w:r>
        <w:rPr>
          <w:rFonts w:hint="eastAsia" w:ascii="宋体" w:hAnsi="宋体" w:eastAsia="宋体" w:cs="宋体"/>
          <w:color w:val="auto"/>
          <w:sz w:val="24"/>
          <w:highlight w:val="none"/>
          <w:lang w:val="en-US" w:eastAsia="zh-CN"/>
        </w:rPr>
        <w:t xml:space="preserve">在服务过程中，乙方服务工作人员和被服务人员发生的任何安全事故，由乙方全部承担。</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12.5</w:t>
      </w:r>
      <w:r>
        <w:rPr>
          <w:rFonts w:hint="eastAsia" w:ascii="宋体" w:hAnsi="宋体" w:eastAsia="宋体" w:cs="宋体"/>
          <w:color w:val="auto"/>
          <w:sz w:val="24"/>
          <w:highlight w:val="none"/>
          <w:lang w:val="en-US" w:eastAsia="zh-CN"/>
        </w:rPr>
        <w:t xml:space="preserve">如遇有乙方服务能力丧失，致使服务无法正常进行的，协议终止。乙方承担终止协议的责任并赔偿甲方损失。</w:t>
      </w:r>
      <w:r/>
    </w:p>
    <w:p>
      <w:pPr>
        <w:ind w:firstLine="482"/>
        <w:jc w:val="left"/>
        <w:keepLines w:val="0"/>
        <w:keepNext w:val="0"/>
        <w:pageBreakBefore w:val="0"/>
        <w:spacing w:line="440" w:lineRule="exact"/>
        <w:rPr>
          <w:rFonts w:ascii="宋体" w:hAnsi="宋体"/>
          <w:b/>
          <w:bCs/>
          <w:color w:val="auto"/>
          <w:sz w:val="24"/>
          <w:highlight w:val="none"/>
        </w:rPr>
      </w:pPr>
      <w:r>
        <w:rPr>
          <w:rFonts w:hint="eastAsia" w:ascii="宋体" w:hAnsi="宋体"/>
          <w:b/>
          <w:bCs/>
          <w:color w:val="auto"/>
          <w:sz w:val="24"/>
          <w:highlight w:val="none"/>
        </w:rPr>
        <w:t xml:space="preserve">十三、验收及考核</w:t>
      </w:r>
      <w:r/>
    </w:p>
    <w:p>
      <w:pPr>
        <w:ind w:firstLine="480"/>
        <w:jc w:val="left"/>
        <w:keepLines w:val="0"/>
        <w:keepNext w:val="0"/>
        <w:pageBreakBefore w:val="0"/>
        <w:spacing w:line="440" w:lineRule="exact"/>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13.1</w:t>
      </w:r>
      <w:r>
        <w:rPr>
          <w:rFonts w:hint="eastAsia" w:ascii="宋体" w:hAnsi="宋体"/>
          <w:b w:val="0"/>
          <w:bCs/>
          <w:color w:val="auto"/>
          <w:sz w:val="24"/>
          <w:highlight w:val="none"/>
        </w:rPr>
        <w:t xml:space="preserve">甲方组织专家技术指导组、服务督查小组或委托社会第三方评估机构，按照《连云港市市区残疾人寄宿制托养服务考核评估和经费拨付管理办法（试行）》（连残发【2022】67 号），对日常管理、托养质量等情况进行评估考核。</w:t>
      </w:r>
      <w:r/>
    </w:p>
    <w:p>
      <w:pPr>
        <w:ind w:firstLine="480"/>
        <w:jc w:val="left"/>
        <w:keepLines w:val="0"/>
        <w:keepNext w:val="0"/>
        <w:pageBreakBefore w:val="0"/>
        <w:spacing w:line="440" w:lineRule="exact"/>
        <w:rPr>
          <w:rFonts w:ascii="宋体" w:hAnsi="宋体"/>
          <w:b w:val="0"/>
          <w:bCs/>
          <w:color w:val="auto"/>
          <w:sz w:val="24"/>
          <w:highlight w:val="none"/>
        </w:rPr>
      </w:pPr>
      <w:r>
        <w:rPr>
          <w:rFonts w:hint="eastAsia" w:ascii="宋体" w:hAnsi="宋体"/>
          <w:b w:val="0"/>
          <w:bCs/>
          <w:color w:val="auto"/>
          <w:sz w:val="24"/>
          <w:highlight w:val="none"/>
          <w:lang w:val="en-US" w:eastAsia="zh-CN"/>
        </w:rPr>
        <w:t xml:space="preserve">13.2</w:t>
      </w:r>
      <w:r>
        <w:rPr>
          <w:rFonts w:hint="eastAsia" w:ascii="宋体" w:hAnsi="宋体"/>
          <w:b w:val="0"/>
          <w:bCs/>
          <w:color w:val="auto"/>
          <w:sz w:val="24"/>
          <w:highlight w:val="none"/>
        </w:rPr>
        <w:t xml:space="preserve">甲方县残联根据日常考核、年度考核、市残联抽查，进行综合考核。考核结果作为拨付经费的依据。综合考核成绩在95 分以上（含95 分）全额支付全部费用；考核 95 分（不含 60 分）以下，每少 5 分（含 5 分之间分），扣除 2%的总费用；60 分以下的，拨付经费的 50%，采购单位有权单方终止合同，并取消下年度投标资格。</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十四、违约责任</w:t>
      </w:r>
      <w:r/>
    </w:p>
    <w:p>
      <w:pPr>
        <w:ind w:firstLine="480"/>
        <w:jc w:val="left"/>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14.1甲方无正当理由拒绝验收的，甲方向乙方偿付拒收总值的百分之五违约金。</w:t>
      </w:r>
      <w:r/>
    </w:p>
    <w:p>
      <w:pPr>
        <w:ind w:firstLine="480"/>
        <w:jc w:val="left"/>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14.2甲方无故逾期验收和办理合同款支付手续的，甲方应按逾期付款总额每日万分之五向乙方支付违约金。</w:t>
      </w:r>
      <w:r/>
    </w:p>
    <w:p>
      <w:pPr>
        <w:ind w:firstLine="480"/>
        <w:jc w:val="left"/>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14.3乙方逾期未完成合同的全部服务，乙方向甲方支付合同金额10%的违约金，逾期超过10天的，甲方有权单方面解除合同。乙方因逾期交付或因其他违约行为导致甲方解除合同的，乙方应向甲方支付合同总值5%的违约金，如造成甲方损失超过违约金的，超出部分由乙方继续承担赔偿责任。 </w:t>
      </w:r>
      <w:r/>
    </w:p>
    <w:p>
      <w:pPr>
        <w:ind w:firstLine="480"/>
        <w:jc w:val="left"/>
        <w:keepLines w:val="0"/>
        <w:keepNext w:val="0"/>
        <w:pageBreakBefore w:val="0"/>
        <w:spacing w:line="440" w:lineRule="exact"/>
        <w:rPr>
          <w:rFonts w:ascii="宋体" w:hAnsi="宋体"/>
          <w:b/>
          <w:color w:val="auto"/>
          <w:sz w:val="24"/>
          <w:highlight w:val="none"/>
        </w:rPr>
      </w:pPr>
      <w:r>
        <w:rPr>
          <w:rFonts w:hint="eastAsia" w:ascii="宋体" w:hAnsi="宋体"/>
          <w:color w:val="auto"/>
          <w:sz w:val="24"/>
          <w:highlight w:val="none"/>
        </w:rPr>
        <w:t xml:space="preserve">14.4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十五、不可抗力事件处理</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15.1 在合同有效期内，任何一方因不可抗力事件导致不能履行合同，则合同履行期可延长，其延长期与不可抗力影响期相同；</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15.2 不可抗力事件发生后，应立即通知对方，并寄送有关权威机构出具的证明；</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15.3 不可抗力事件延续120天以上，双方应通过友好协商，确定是否继续履行合同。      </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十六、争议解决</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16.1双方在执行合同中所发生的一切争议，应通过协商解决。如协商不成，按下列第</w:t>
      </w:r>
      <w:r>
        <w:rPr>
          <w:rFonts w:hint="eastAsia" w:hAnsi="宋体"/>
          <w:color w:val="auto"/>
          <w:sz w:val="24"/>
          <w:szCs w:val="24"/>
          <w:highlight w:val="none"/>
          <w:u w:val="single"/>
        </w:rPr>
        <w:t xml:space="preserve"> （2）</w:t>
      </w:r>
      <w:r>
        <w:rPr>
          <w:rFonts w:hint="eastAsia" w:hAnsi="宋体"/>
          <w:color w:val="auto"/>
          <w:sz w:val="24"/>
          <w:szCs w:val="24"/>
          <w:highlight w:val="none"/>
        </w:rPr>
        <w:t xml:space="preserve">种方式解决：</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（1）向连云港仲裁委员会申请仲裁；</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（2）向合同签订地的法院起诉，合同签订地在此约定为连云港市；</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16.2因一方违约引发诉讼的，违约方承担守约方因诉讼而产生的费用，包括但不限于诉讼费、保全费、律师代理费等一切实现债权费用。</w:t>
      </w:r>
      <w:r/>
    </w:p>
    <w:p>
      <w:pPr>
        <w:ind w:firstLine="482"/>
        <w:jc w:val="left"/>
        <w:keepLines w:val="0"/>
        <w:keepNext w:val="0"/>
        <w:pageBreakBefore w:val="0"/>
        <w:spacing w:line="440" w:lineRule="exact"/>
        <w:rPr>
          <w:rFonts w:ascii="宋体" w:hAnsi="宋体"/>
          <w:b/>
          <w:bCs/>
          <w:color w:val="auto"/>
          <w:sz w:val="24"/>
          <w:highlight w:val="none"/>
        </w:rPr>
      </w:pPr>
      <w:r>
        <w:rPr>
          <w:rFonts w:hint="eastAsia" w:ascii="宋体" w:hAnsi="宋体"/>
          <w:b/>
          <w:bCs/>
          <w:color w:val="auto"/>
          <w:sz w:val="24"/>
          <w:highlight w:val="none"/>
        </w:rPr>
        <w:t xml:space="preserve">十七、下列文件为本合同不可分割部分</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17.1成交通知书。</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17.2乙方成交的响应文件。</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17.3竞争性磋商文件。</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17.4乙方在磋商过程中所作的其他承诺、声明、书面澄清等。</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17.5合同附件。</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十八、合同生效及其它</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18.1 合同经双方法定代表人或授权委托代理人</w:t>
      </w:r>
      <w:r>
        <w:rPr>
          <w:rFonts w:hint="eastAsia" w:hAnsi="宋体"/>
          <w:b/>
          <w:bCs/>
          <w:color w:val="auto"/>
          <w:sz w:val="24"/>
          <w:szCs w:val="24"/>
          <w:highlight w:val="none"/>
        </w:rPr>
        <w:t xml:space="preserve">签字并加盖单位公章后生效；</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18.2 本合同未尽事宜，遵照《中华人民共和国民法典》有关条文执行；</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18.3 本合同正本一式</w:t>
      </w:r>
      <w:r>
        <w:rPr>
          <w:rFonts w:hint="eastAsia" w:hAnsi="宋体"/>
          <w:color w:val="auto"/>
          <w:sz w:val="24"/>
          <w:szCs w:val="24"/>
          <w:highlight w:val="none"/>
          <w:u w:val="single"/>
        </w:rPr>
        <w:t xml:space="preserve">陆</w:t>
      </w:r>
      <w:r>
        <w:rPr>
          <w:rFonts w:hint="eastAsia" w:hAnsi="宋体"/>
          <w:color w:val="auto"/>
          <w:sz w:val="24"/>
          <w:szCs w:val="24"/>
          <w:highlight w:val="none"/>
        </w:rPr>
        <w:t xml:space="preserve">份，甲乙双方各执</w:t>
      </w:r>
      <w:r>
        <w:rPr>
          <w:rFonts w:hint="eastAsia" w:hAnsi="宋体"/>
          <w:color w:val="auto"/>
          <w:sz w:val="24"/>
          <w:szCs w:val="24"/>
          <w:highlight w:val="none"/>
          <w:u w:val="single"/>
        </w:rPr>
        <w:t xml:space="preserve">贰</w:t>
      </w:r>
      <w:r>
        <w:rPr>
          <w:rFonts w:hint="eastAsia" w:hAnsi="宋体"/>
          <w:color w:val="auto"/>
          <w:sz w:val="24"/>
          <w:szCs w:val="24"/>
          <w:highlight w:val="none"/>
        </w:rPr>
        <w:t xml:space="preserve">份、采购监督部门、采购代理机构各执</w:t>
      </w:r>
      <w:r>
        <w:rPr>
          <w:rFonts w:hint="eastAsia" w:hAnsi="宋体"/>
          <w:color w:val="auto"/>
          <w:sz w:val="24"/>
          <w:szCs w:val="24"/>
          <w:highlight w:val="none"/>
          <w:u w:val="single"/>
        </w:rPr>
        <w:t xml:space="preserve"> 壹 </w:t>
      </w:r>
      <w:r>
        <w:rPr>
          <w:rFonts w:hint="eastAsia" w:hAnsi="宋体"/>
          <w:color w:val="auto"/>
          <w:sz w:val="24"/>
          <w:szCs w:val="24"/>
          <w:highlight w:val="none"/>
        </w:rPr>
        <w:t xml:space="preserve">份，具有同等法律效力。</w:t>
      </w:r>
      <w:r/>
    </w:p>
    <w:p>
      <w:pPr>
        <w:pStyle w:val="893"/>
        <w:ind w:firstLine="480"/>
        <w:keepLines w:val="0"/>
        <w:keepNext w:val="0"/>
        <w:pageBreakBefore w:val="0"/>
        <w:spacing w:line="440" w:lineRule="exact"/>
        <w:rPr>
          <w:color w:val="auto"/>
          <w:highlight w:val="none"/>
        </w:rPr>
      </w:pPr>
      <w:r>
        <w:rPr>
          <w:rFonts w:hint="eastAsia"/>
          <w:color w:val="auto"/>
          <w:highlight w:val="none"/>
        </w:rPr>
        <w:t xml:space="preserve">以下无正文</w:t>
      </w:r>
      <w:r/>
    </w:p>
    <w:p>
      <w:pPr>
        <w:pStyle w:val="893"/>
        <w:ind w:firstLine="480"/>
        <w:keepLines w:val="0"/>
        <w:keepNext w:val="0"/>
        <w:pageBreakBefore w:val="0"/>
        <w:spacing w:line="440" w:lineRule="exact"/>
        <w:rPr>
          <w:color w:val="auto"/>
          <w:highlight w:val="none"/>
        </w:rPr>
      </w:pPr>
      <w:r>
        <w:rPr>
          <w:rFonts w:hint="eastAsia"/>
          <w:color w:val="auto"/>
          <w:highlight w:val="none"/>
        </w:rPr>
        <w:t xml:space="preserve">甲方（公章）：                          乙方（公章）：              </w:t>
      </w:r>
      <w:r/>
    </w:p>
    <w:p>
      <w:pPr>
        <w:pStyle w:val="891"/>
        <w:ind w:firstLine="480"/>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地址：                                  地址：</w:t>
      </w:r>
      <w:r/>
    </w:p>
    <w:p>
      <w:pPr>
        <w:pStyle w:val="891"/>
        <w:ind w:firstLine="480"/>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法定代表人或                            法定代表人或</w:t>
      </w:r>
      <w:r/>
    </w:p>
    <w:p>
      <w:pPr>
        <w:pStyle w:val="891"/>
        <w:ind w:firstLine="480"/>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委托代理人（签字或盖章）：              委托代理人（签字或盖章）：</w:t>
      </w:r>
      <w:r/>
    </w:p>
    <w:p>
      <w:pPr>
        <w:pStyle w:val="891"/>
        <w:ind w:firstLine="480"/>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电话：                                  电话：</w:t>
      </w:r>
      <w:r/>
    </w:p>
    <w:p>
      <w:pPr>
        <w:pStyle w:val="891"/>
        <w:ind w:firstLine="480"/>
        <w:keepLines w:val="0"/>
        <w:keepNext w:val="0"/>
        <w:pageBreakBefore w:val="0"/>
        <w:spacing w:line="440" w:lineRule="exact"/>
        <w:rPr>
          <w:rFonts w:hAnsi="宋体"/>
          <w:color w:val="auto"/>
          <w:sz w:val="24"/>
          <w:szCs w:val="24"/>
          <w:highlight w:val="none"/>
          <w:u w:val="single"/>
        </w:rPr>
      </w:pPr>
      <w:r>
        <w:rPr>
          <w:rFonts w:hint="eastAsia" w:hAnsi="宋体"/>
          <w:color w:val="auto"/>
          <w:sz w:val="24"/>
          <w:szCs w:val="24"/>
          <w:highlight w:val="none"/>
        </w:rPr>
        <w:t xml:space="preserve">签订地点：</w:t>
      </w:r>
      <w:r/>
    </w:p>
    <w:p>
      <w:pPr>
        <w:pStyle w:val="891"/>
        <w:ind w:firstLine="480"/>
        <w:keepLines w:val="0"/>
        <w:keepNext w:val="0"/>
        <w:pageBreakBefore w:val="0"/>
        <w:spacing w:line="440" w:lineRule="exact"/>
        <w:rPr>
          <w:rFonts w:hint="eastAsia" w:hAnsi="宋体"/>
          <w:color w:val="auto"/>
          <w:sz w:val="24"/>
          <w:szCs w:val="24"/>
          <w:highlight w:val="none"/>
        </w:rPr>
        <w:sectPr>
          <w:headerReference w:type="default" r:id="rId11"/>
          <w:footerReference w:type="default" r:id="rId15"/>
          <w:footnotePr/>
          <w:endnotePr/>
          <w:type w:val="nextPage"/>
          <w:pgSz w:w="11906" w:h="16838" w:orient="portrait"/>
          <w:pgMar w:top="1440" w:right="1440" w:bottom="1440" w:left="1440" w:header="851" w:footer="907" w:gutter="0"/>
          <w:cols w:num="1" w:sep="0" w:space="720" w:equalWidth="1"/>
          <w:docGrid w:linePitch="360"/>
        </w:sectPr>
      </w:pPr>
      <w:r>
        <w:rPr>
          <w:rFonts w:hint="eastAsia" w:hAnsi="宋体"/>
          <w:color w:val="auto"/>
          <w:sz w:val="24"/>
          <w:szCs w:val="24"/>
          <w:highlight w:val="none"/>
        </w:rPr>
        <w:t xml:space="preserve">签订日期：</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年</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月</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日</w:t>
      </w:r>
      <w:r/>
    </w:p>
    <w:p>
      <w:pPr>
        <w:spacing w:line="360" w:lineRule="auto"/>
        <w:rPr>
          <w:rFonts w:ascii="黑体" w:hAnsi="黑体" w:eastAsia="黑体" w:cs="Times New Roman"/>
          <w:color w:val="auto"/>
          <w:sz w:val="32"/>
          <w:szCs w:val="32"/>
          <w:highlight w:val="none"/>
        </w:rPr>
      </w:pPr>
      <w:r>
        <w:rPr>
          <w:rFonts w:hint="eastAsia" w:ascii="黑体" w:hAnsi="黑体" w:eastAsia="黑体" w:cs="Times New Roman"/>
          <w:color w:val="auto"/>
          <w:sz w:val="32"/>
          <w:szCs w:val="32"/>
          <w:highlight w:val="none"/>
        </w:rPr>
        <w:t xml:space="preserve">附件1</w:t>
      </w:r>
      <w:r/>
    </w:p>
    <w:p>
      <w:pPr>
        <w:jc w:val="center"/>
        <w:spacing w:line="360" w:lineRule="auto"/>
        <w:rPr>
          <w:rFonts w:ascii="方正小标宋简体" w:hAnsi="Calibri" w:eastAsia="方正小标宋简体" w:cs="仿宋"/>
          <w:bCs/>
          <w:color w:val="auto"/>
          <w:sz w:val="32"/>
          <w:szCs w:val="32"/>
          <w:highlight w:val="none"/>
        </w:rPr>
      </w:pPr>
      <w:r>
        <w:rPr>
          <w:rFonts w:hint="eastAsia" w:ascii="方正小标宋简体" w:hAnsi="宋体" w:eastAsia="方正小标宋简体" w:cs="仿宋"/>
          <w:bCs/>
          <w:color w:val="auto"/>
          <w:sz w:val="36"/>
          <w:szCs w:val="36"/>
          <w:highlight w:val="none"/>
        </w:rPr>
        <w:t xml:space="preserve">连云港市残疾人寄宿制托养服务日常管理评估评分细则</w:t>
      </w:r>
      <w:r/>
    </w:p>
    <w:tbl>
      <w:tblPr>
        <w:tblStyle w:val="877"/>
        <w:tblW w:w="14073" w:type="dxa"/>
        <w:jc w:val="center"/>
        <w:tblLayout w:type="fixed"/>
        <w:tblCellMar>
          <w:left w:w="108" w:type="dxa"/>
          <w:top w:w="0" w:type="dxa"/>
          <w:right w:w="108" w:type="dxa"/>
          <w:bottom w:w="0" w:type="dxa"/>
        </w:tblCellMar>
        <w:tblLook w:val="04A0" w:firstRow="1" w:lastRow="0" w:firstColumn="1" w:lastColumn="0" w:noHBand="0" w:noVBand="1"/>
      </w:tblPr>
      <w:tblGrid>
        <w:gridCol w:w="663"/>
        <w:gridCol w:w="797"/>
        <w:gridCol w:w="3585"/>
        <w:gridCol w:w="929"/>
        <w:gridCol w:w="5709"/>
        <w:gridCol w:w="1461"/>
        <w:gridCol w:w="929"/>
      </w:tblGrid>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left"/>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评估项目</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left"/>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center"/>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评估内容</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center"/>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评估标准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left"/>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扣分原因</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left"/>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得分</w:t>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服务管理40分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工作人员资质符合招标要求。</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一人一次资质不符合扣2分。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工作人员按时到岗。</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无故缺岗每发现1次扣1分。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工作人员着装整洁、挂牌上岗，文明服务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着装不整洁、不挂牌上岗扣0.5分，出现体罚歧视残疾人现象一次扣1分。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为每位入托人员建立档案。</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少建立1人档案扣1分。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定期对托养人员进行能力评估，制定近、中、长期康复托养计划及目标。并根据托养人员康复训练情况及时调整计划目标。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没定期进行能力评估扣1分，没按要求制定计划目标扣1分。没及时调整扣1分。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按计划安排按时开展康复训练和托养服务。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没按计划安排执行，发现一次扣1分。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及时记录康复训练和托养服务。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没及时记录一次扣0.5分。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及时上报月考勤表</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没及时考勤扣0.5分，托养人员无请假手续扣0.5分，工作人员无故没到岗一次扣1分。考勤未及时上报一次扣0.5分。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auto"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single" w:color="000000" w:sz="4" w:space="0"/>
              <w:bottom w:val="single" w:color="auto"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执行托养人员接送交接手续，并填写交接表。</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发现一例没履行手续扣1分。交接表填写不全，扣0.5分。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膳食管理30分</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每周上报下周菜单，菜品安排合理。</w:t>
            </w:r>
            <w:r/>
          </w:p>
        </w:tc>
        <w:tc>
          <w:tcPr>
            <w:tcBorders>
              <w:top w:val="non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没及时上报扣1分。</w:t>
            </w:r>
            <w:r/>
          </w:p>
        </w:tc>
        <w:tc>
          <w:tcPr>
            <w:tcBorders>
              <w:top w:val="non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菜品按菜单执行，并留样24小时</w:t>
            </w:r>
            <w:r/>
          </w:p>
        </w:tc>
        <w:tc>
          <w:tcPr>
            <w:tcBorders>
              <w:top w:val="singl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发现一次一菜没按菜单执行扣0.5分。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不使用过期或来历不明食品</w:t>
            </w:r>
            <w:r/>
          </w:p>
        </w:tc>
        <w:tc>
          <w:tcPr>
            <w:tcBorders>
              <w:top w:val="singl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发现一次扣6分。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厨房、餐厅卫生整洁</w:t>
            </w:r>
            <w:r/>
          </w:p>
        </w:tc>
        <w:tc>
          <w:tcPr>
            <w:tcBorders>
              <w:top w:val="singl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菜品搭配根据合同要求配备</w:t>
            </w:r>
            <w:r/>
          </w:p>
        </w:tc>
        <w:tc>
          <w:tcPr>
            <w:tcBorders>
              <w:top w:val="singl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卫生管理15分</w:t>
            </w:r>
            <w:r/>
          </w:p>
        </w:tc>
        <w:tc>
          <w:tcPr>
            <w:tcBorders>
              <w:top w:val="single" w:color="auto"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auto"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宿舍物品摆放整齐有序，床上整理整洁。每周换洗1次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发现一次不整洁扣0.5分。未及时换洗扣0.5分。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宿舍及卫生间无异味。</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发现一室一次有异味扣0.1分。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宿舍地面干净无水渍、灰尘</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发现一处扣0.5分。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公共区域无杂物</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发现一处扣0.5分。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功能室干净、物品摆放整齐有序，物品无破损，保证正常使用。</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发现一次不干净、物品摆放不整齐扣0.5分，物品破损未及时修补，影响正常使用，发现一次扣0.5分。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对所有功能室和宿舍每周至少消毒一次，并有记录</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没执行扣0.5分，无记录扣0.5分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及时为托养人员换洗衣物，无污渍</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发现一人扣0.5分。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协助托养人员进行洗浴，身上无异味</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发现一人扣0.5分。特殊情况除外。</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头发整洁，无长指甲，男生无长须</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发现一人扣0.5分。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安全管理10分</w:t>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有午间、夜间值班巡查制度，责任到人，并及时记录</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无制度或值班不在岗扣1分，未及时记录扣0.5分。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无人身伤害事故发生。</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因工作人员失误造成的，发现一例扣2分。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制定水电气运行安全巡查制度。发现隐患及时处理并上报。</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无制度扣2分，无巡查记录扣0.5分，发现未及时巡查一次扣0.5分。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处理突发事件及时，并妥善处理。无上访事件。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处理不及时，扣2分。出现上访事件扣4分。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制定并落实新冠疫情常态化防控制度，并有防控记录</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无制度扣3分，少记一次扣1分。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spacing w:line="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满意度测评（5分）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line="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spacing w:line="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每季度对服务对象或家属进行至少一次匿名的服务满意度调查并做出分析总结。</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90%-100%得5分，70%—89%得3分，70%以下不得分。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bl>
    <w:p>
      <w:pPr>
        <w:spacing w:line="360" w:lineRule="auto"/>
        <w:rPr>
          <w:rFonts w:ascii="仿宋" w:hAnsi="Calibri" w:eastAsia="仿宋" w:cs="仿宋"/>
          <w:color w:val="auto"/>
          <w:sz w:val="32"/>
          <w:szCs w:val="32"/>
          <w:highlight w:val="none"/>
        </w:rPr>
      </w:pPr>
      <w:r>
        <w:rPr>
          <w:rFonts w:ascii="仿宋" w:hAnsi="Calibri" w:eastAsia="仿宋" w:cs="仿宋"/>
          <w:color w:val="auto"/>
          <w:sz w:val="32"/>
          <w:szCs w:val="32"/>
          <w:highlight w:val="none"/>
        </w:rPr>
      </w:r>
      <w:r/>
    </w:p>
    <w:p>
      <w:pPr>
        <w:spacing w:line="240" w:lineRule="auto"/>
        <w:rPr>
          <w:rFonts w:ascii="黑体" w:hAnsi="黑体" w:eastAsia="黑体" w:cs="仿宋"/>
          <w:color w:val="auto"/>
          <w:sz w:val="32"/>
          <w:szCs w:val="32"/>
          <w:highlight w:val="none"/>
        </w:rPr>
      </w:pPr>
      <w:r>
        <w:rPr>
          <w:rFonts w:ascii="黑体" w:hAnsi="黑体" w:eastAsia="黑体" w:cs="仿宋"/>
          <w:color w:val="auto"/>
          <w:sz w:val="32"/>
          <w:szCs w:val="32"/>
          <w:highlight w:val="none"/>
        </w:rPr>
        <w:br w:type="page" w:clear="all"/>
      </w:r>
      <w:r>
        <w:rPr>
          <w:rFonts w:hint="eastAsia" w:ascii="黑体" w:hAnsi="黑体" w:eastAsia="黑体" w:cs="仿宋"/>
          <w:color w:val="auto"/>
          <w:sz w:val="32"/>
          <w:szCs w:val="32"/>
          <w:highlight w:val="none"/>
        </w:rPr>
        <w:t xml:space="preserve">附件2</w:t>
      </w:r>
      <w:r/>
    </w:p>
    <w:p>
      <w:pPr>
        <w:jc w:val="center"/>
        <w:spacing w:line="240" w:lineRule="auto"/>
        <w:rPr>
          <w:rFonts w:ascii="方正小标宋简体" w:hAnsi="宋体" w:eastAsia="方正小标宋简体" w:cs="仿宋"/>
          <w:bCs/>
          <w:color w:val="auto"/>
          <w:sz w:val="36"/>
          <w:szCs w:val="36"/>
          <w:highlight w:val="none"/>
        </w:rPr>
      </w:pPr>
      <w:r>
        <w:rPr>
          <w:rFonts w:hint="eastAsia" w:ascii="方正小标宋简体" w:hAnsi="宋体" w:eastAsia="方正小标宋简体" w:cs="仿宋"/>
          <w:bCs/>
          <w:color w:val="auto"/>
          <w:sz w:val="36"/>
          <w:szCs w:val="36"/>
          <w:highlight w:val="none"/>
        </w:rPr>
        <w:t xml:space="preserve">连云港市残疾人寄宿制托养服务年度评估评分细则</w:t>
      </w:r>
      <w:r/>
    </w:p>
    <w:p>
      <w:pPr>
        <w:ind w:right="901"/>
        <w:jc w:val="right"/>
        <w:spacing w:line="240" w:lineRule="auto"/>
        <w:rPr>
          <w:rFonts w:ascii="楷体_GB2312" w:hAnsi="Calibri" w:eastAsia="楷体_GB2312" w:cs="Times New Roman"/>
          <w:color w:val="auto"/>
          <w:sz w:val="30"/>
          <w:szCs w:val="30"/>
          <w:highlight w:val="none"/>
        </w:rPr>
      </w:pPr>
      <w:r>
        <w:rPr>
          <w:rFonts w:hint="eastAsia" w:ascii="楷体_GB2312" w:hAnsi="Calibri" w:eastAsia="楷体_GB2312" w:cs="Times New Roman"/>
          <w:color w:val="auto"/>
          <w:sz w:val="30"/>
          <w:szCs w:val="30"/>
          <w:highlight w:val="none"/>
        </w:rPr>
        <w:t xml:space="preserve">                              评估时间：    年  月  日</w:t>
      </w:r>
      <w:r/>
    </w:p>
    <w:tbl>
      <w:tblPr>
        <w:tblStyle w:val="877"/>
        <w:tblW w:w="15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1230"/>
        <w:gridCol w:w="10140"/>
        <w:gridCol w:w="2175"/>
        <w:gridCol w:w="578"/>
      </w:tblGrid>
      <w:tr>
        <w:trPr>
          <w:jc w:val="center"/>
          <w:trHeight w:val="8"/>
        </w:trPr>
        <w:tc>
          <w:tcPr>
            <w:gridSpan w:val="2"/>
            <w:tcW w:w="2350"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项目</w:t>
            </w:r>
            <w:r/>
          </w:p>
        </w:tc>
        <w:tc>
          <w:tcPr>
            <w:tcW w:w="10140"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评分内容</w:t>
            </w:r>
            <w:r/>
          </w:p>
        </w:tc>
        <w:tc>
          <w:tcPr>
            <w:tcW w:w="2175" w:type="dxa"/>
            <w:vAlign w:val="center"/>
            <w:textDirection w:val="lrTb"/>
            <w:noWrap w:val="false"/>
          </w:tcPr>
          <w:p>
            <w:pPr>
              <w:ind w:firstLine="420"/>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评分办法</w:t>
            </w:r>
            <w:r/>
          </w:p>
        </w:tc>
        <w:tc>
          <w:tcPr>
            <w:tcW w:w="578" w:type="dxa"/>
            <w:textDirection w:val="lrTb"/>
            <w:noWrap w:val="false"/>
          </w:tcPr>
          <w:p>
            <w:pPr>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得分</w:t>
            </w:r>
            <w:r/>
          </w:p>
        </w:tc>
      </w:tr>
      <w:tr>
        <w:trPr>
          <w:jc w:val="center"/>
          <w:trHeight w:val="8"/>
        </w:trPr>
        <w:tc>
          <w:tcPr>
            <w:tcW w:w="1120" w:type="dxa"/>
            <w:vAlign w:val="center"/>
            <w:vMerge w:val="restart"/>
            <w:textDirection w:val="lrTb"/>
            <w:noWrap w:val="false"/>
          </w:tcPr>
          <w:p>
            <w:pPr>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机构管理（40分）</w:t>
            </w:r>
            <w:r/>
          </w:p>
        </w:tc>
        <w:tc>
          <w:tcPr>
            <w:tcW w:w="123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财务管理（4分）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按照《会计法》及国家有关规定设置会计科目、建立账簿和会计核算，编制准确、完善、及时（1分）；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财务有专人负责、专款专用、专帐核算，建立财务管理制度并公示上墙（2分）；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iCs/>
                <w:color w:val="auto"/>
                <w:szCs w:val="21"/>
                <w:highlight w:val="none"/>
              </w:rPr>
              <w:t xml:space="preserve">建立固定资产登记册（1分）。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入住管理（4分）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正式入住前，应对残疾人做身体状况评估检查。在签订各类协议之前，进行适应性观察和评估，有试住期协议，由相关护理专业人员进行护理等级评估，并得到家属或监护人认可，首次评估应在入住后一个星期内完成，至少每半年复核一次（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与残疾人或其家属、监护人签订具有法律效力的入托协议（2分）。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信息管理（4分）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建立服务对象档案，1人1档，及时录入和保存服务对象信息（2分）；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日常管理制度、运行记录均入档保存，档案由专人管理，信息登记真实、完整及时更新，严格保密，实行查阅控制制度（2分）。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人员管理（4分）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护理、康复训练、心理咨询、培训人员等专业人员根据合同配备到位（4分）。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通过现场查看各项证照。</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制度管理（4分）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有内设部门，功能齐全，各部门配齐专业人员；各岗位建立完善工作制度和规范，并公示在醒目处（2分）；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有残疾人进出中心流程，建立请销假制度，进出规范（2分）。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后勤管理（4分）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有专人负责管理工作，工作有计划、有总结（2分）；定期开展服务设施检查，实现设施完好率95%以上（2分）。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绩效管理（4分）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制定绩效考核制度和方案（2分）；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有绩效考核记录，根据考核结果发放绩效工资（2分）。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通过现场查看记录。</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培训管理（4分）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根据中心发展需要制定工作人员培训计划，每年开展培训不少于2次（4分）。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投诉处理（2分）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设置意见箱，公开投诉电话，若出现残疾人和家属投诉情况，1天内受理，在15天之内将处理情况反馈给残疾人和家属（1分）；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服务质量投诉率低于5%（1分）。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706"/>
        </w:trPr>
        <w:tc>
          <w:tcPr>
            <w:tcW w:w="1120" w:type="dxa"/>
            <w:vAlign w:val="center"/>
            <w:vMerge w:val="continue"/>
            <w:textDirection w:val="tbRlV"/>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安保应急（3分）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应安排专门人员，实行定期巡视制度（1分）。</w:t>
            </w:r>
            <w:r>
              <w:rPr>
                <w:rFonts w:hint="eastAsia" w:ascii="宋体" w:hAnsi="宋体" w:eastAsia="宋体" w:cs="Times New Roman"/>
                <w:iCs/>
                <w:color w:val="auto"/>
                <w:szCs w:val="21"/>
                <w:highlight w:val="none"/>
              </w:rPr>
              <w:t xml:space="preserve">应建立安全应急处置预案，出台安全管理制度（1分）；</w:t>
            </w:r>
            <w:r>
              <w:rPr>
                <w:rFonts w:hint="eastAsia" w:ascii="宋体" w:hAnsi="宋体" w:eastAsia="宋体" w:cs="Times New Roman"/>
                <w:color w:val="auto"/>
                <w:szCs w:val="21"/>
                <w:highlight w:val="none"/>
              </w:rPr>
              <w:t xml:space="preserve">配备急救技能培训合格的医护或管理人员，实行24小时值班制度，有值班记录（1分）。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Merge w:val="continue"/>
            <w:textDirection w:val="tbRlV"/>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疫情防控（3分）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对入托人员健康状况，有无外出史、有无疫情亲密接触史，仔细排查，做到一人一表，不漏一人，实行“日报告”</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零报告”制度。外来人员必须正确佩戴，体温测量正常，并持有绿色健康码方可入内。（1分）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对就餐场所，入寝室、卫生间等地，安排专人用一定比例消毒剂进行全面消毒。（1分）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制定应急处置预案，如发现发热、咳嗽或疑似病例，应立即启动应急预案，并及时上报疾控机构请求指导处理，并协助有关部门开展调查处置工作。（1分）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restart"/>
            <w:textDirection w:val="lrTb"/>
            <w:noWrap w:val="false"/>
          </w:tcPr>
          <w:p>
            <w:pPr>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服务内容（35分）</w:t>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膳食服务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餐饮制作和提供，应符合相关食品卫生法规要求，食品应每天留样至少保留24小时（1分）；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按时提供一日三餐，符合相关规定（3分）；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每周制定、翻新菜谱，保证餐饮安全、营养和健康，为特殊残疾人及时提供特殊饮食（1分）。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卫生保健</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iCs/>
                <w:color w:val="auto"/>
                <w:szCs w:val="21"/>
                <w:highlight w:val="none"/>
              </w:rPr>
            </w:pPr>
            <w:r>
              <w:rPr>
                <w:rFonts w:hint="eastAsia" w:ascii="宋体" w:hAnsi="宋体" w:eastAsia="宋体" w:cs="Times New Roman"/>
                <w:iCs/>
                <w:color w:val="auto"/>
                <w:szCs w:val="21"/>
                <w:highlight w:val="none"/>
              </w:rPr>
              <w:t xml:space="preserve">医生定期查房、巡诊，对相关疾病做出诊疗意见，管理人员每天1次查房，管理人员、护理人员每周至少1次联合查房，有查房记录（3分）；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为残疾人至少一年进行1次常规身体检查（2分）；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疾病控制服务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iCs/>
                <w:color w:val="auto"/>
                <w:szCs w:val="21"/>
                <w:highlight w:val="none"/>
              </w:rPr>
            </w:pPr>
            <w:r>
              <w:rPr>
                <w:rFonts w:hint="eastAsia" w:ascii="宋体" w:hAnsi="宋体" w:eastAsia="宋体" w:cs="Times New Roman"/>
                <w:iCs/>
                <w:color w:val="auto"/>
                <w:szCs w:val="21"/>
                <w:highlight w:val="none"/>
              </w:rPr>
              <w:t xml:space="preserve">代发代管药品，由专人负责，应有残疾人监护人委托书，监督或协助残疾人按医嘱服药（3分）；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iCs/>
                <w:color w:val="auto"/>
                <w:szCs w:val="21"/>
                <w:highlight w:val="none"/>
              </w:rPr>
              <w:t xml:space="preserve">接受医疗药品应查阅、核对就诊病历卡、处方单，医疗药品应由专人、专柜保管，避免丢失、损坏和过期失效（2分）。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心理服务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定期开展心理咨询服务，同时积极安排监护人、工作人员与残疾人进行沟通交流，开展适宜的集体活动（5分）。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室内卫生</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室内保持干净、空气新鲜无异味，卫生间清洁无异味，（3分）；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生活护理用品清洁、摆放有序（2分）。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通过实地查看现场。</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环境卫生（5分）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公共区域走道设置垃圾箱，并及时清理，墙壁、窗户、扶手无灰尘、蛛网，公共卫生间清洁无异味（5分）。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通过实地查看现场。</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相关服务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建立适宜服务对象特点的服务计划，按计划开展服务（2分）；建立日常服务档案，做好服务对象1人1档（2分）；定期进行服务效果评估，结果及时告知残疾人及其监护人。（1分）；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restart"/>
            <w:textDirection w:val="lrTb"/>
            <w:noWrap w:val="false"/>
          </w:tcPr>
          <w:p>
            <w:pPr>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成效管理（25分）</w:t>
            </w:r>
            <w:r/>
          </w:p>
        </w:tc>
        <w:tc>
          <w:tcPr>
            <w:tcW w:w="123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机构自评（10分）</w:t>
            </w:r>
            <w:r/>
          </w:p>
        </w:tc>
        <w:tc>
          <w:tcPr>
            <w:tcW w:w="10140" w:type="dxa"/>
            <w:vAlign w:val="center"/>
            <w:textDirection w:val="lrTb"/>
            <w:noWrap w:val="false"/>
          </w:tcPr>
          <w:p>
            <w:pPr>
              <w:jc w:val="left"/>
              <w:spacing w:line="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每年对所有服务对象或家属进行至少四次匿名的服务满意度调查并做出分析总结。</w:t>
            </w:r>
            <w:r>
              <w:rPr>
                <w:rFonts w:hint="eastAsia" w:ascii="宋体" w:hAnsi="宋体" w:eastAsia="宋体" w:cs="Times New Roman"/>
                <w:color w:val="auto"/>
                <w:szCs w:val="21"/>
                <w:highlight w:val="none"/>
              </w:rPr>
              <w:t xml:space="preserve">（10分）</w:t>
            </w:r>
            <w:r/>
          </w:p>
        </w:tc>
        <w:tc>
          <w:tcPr>
            <w:tcW w:w="217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平均分90%-100%得10分，70%—89%得5分，70%以下不得分。</w:t>
            </w:r>
            <w:r/>
          </w:p>
        </w:tc>
        <w:tc>
          <w:tcPr>
            <w:tcW w:w="578"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60"/>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社会宣传（8分）</w:t>
            </w:r>
            <w:r/>
          </w:p>
        </w:tc>
        <w:tc>
          <w:tcPr>
            <w:tcW w:w="1014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每年有三次以上媒体宣传报道（县级以上的网站、报刊、电视等媒体），社会反映良好事件（4分）；</w:t>
            </w:r>
            <w:r/>
          </w:p>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积极宣传服务中的典型，在省市级媒体或新媒体上宣传工作成果，为全市残疾人托养机构树立标杆（4分）；恶性投诉、新闻媒体负面曝光事件，出现一次全票否决。</w:t>
            </w:r>
            <w:r/>
          </w:p>
        </w:tc>
        <w:tc>
          <w:tcPr>
            <w:tcW w:w="2175"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查看宣传渠道、报道原件或复印年及视频</w:t>
            </w:r>
            <w:r/>
          </w:p>
        </w:tc>
        <w:tc>
          <w:tcPr>
            <w:tcW w:w="578"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2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社会评价（7分）</w:t>
            </w:r>
            <w:r/>
          </w:p>
        </w:tc>
        <w:tc>
          <w:tcPr>
            <w:tcW w:w="1014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员工熟悉意识形态教育。（2分）</w:t>
            </w:r>
            <w:r/>
          </w:p>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服务对象及监护人认可机构服务，并积极支持配合机构工作。（3分）</w:t>
            </w:r>
            <w:r/>
          </w:p>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乡镇了解机构的工作，并积极配合，整合资源为机构提供支持。（2分）</w:t>
            </w:r>
            <w:r/>
          </w:p>
        </w:tc>
        <w:tc>
          <w:tcPr>
            <w:tcW w:w="2175"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现场访谈</w:t>
            </w:r>
            <w:r/>
          </w:p>
        </w:tc>
        <w:tc>
          <w:tcPr>
            <w:tcW w:w="578"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bl>
    <w:p>
      <w:pPr>
        <w:spacing w:line="600" w:lineRule="exact"/>
        <w:rPr>
          <w:rFonts w:ascii="黑体" w:hAnsi="黑体" w:eastAsia="黑体" w:cs="Times New Roman"/>
          <w:color w:val="auto"/>
          <w:sz w:val="32"/>
          <w:szCs w:val="32"/>
          <w:highlight w:val="none"/>
        </w:rPr>
      </w:pPr>
      <w:r>
        <w:rPr>
          <w:rFonts w:ascii="黑体" w:hAnsi="黑体" w:eastAsia="黑体" w:cs="Times New Roman"/>
          <w:color w:val="auto"/>
          <w:sz w:val="32"/>
          <w:szCs w:val="32"/>
          <w:highlight w:val="none"/>
        </w:rPr>
        <w:br w:type="page" w:clear="all"/>
      </w:r>
      <w:r>
        <w:rPr>
          <w:rFonts w:hint="eastAsia" w:ascii="黑体" w:hAnsi="黑体" w:eastAsia="黑体" w:cs="Times New Roman"/>
          <w:color w:val="auto"/>
          <w:sz w:val="32"/>
          <w:szCs w:val="32"/>
          <w:highlight w:val="none"/>
        </w:rPr>
        <w:t xml:space="preserve">附件3</w:t>
      </w:r>
      <w:r/>
    </w:p>
    <w:p>
      <w:pPr>
        <w:ind w:firstLine="720"/>
        <w:jc w:val="center"/>
        <w:spacing w:line="600" w:lineRule="exact"/>
        <w:rPr>
          <w:rFonts w:ascii="方正小标宋简体" w:hAnsi="Calibri" w:eastAsia="方正小标宋简体" w:cs="Times New Roman"/>
          <w:color w:val="auto"/>
          <w:sz w:val="36"/>
          <w:szCs w:val="36"/>
          <w:highlight w:val="none"/>
        </w:rPr>
      </w:pPr>
      <w:r>
        <w:rPr>
          <w:rFonts w:hint="eastAsia" w:ascii="方正小标宋简体" w:hAnsi="黑体" w:eastAsia="方正小标宋简体" w:cs="Times New Roman"/>
          <w:color w:val="auto"/>
          <w:sz w:val="36"/>
          <w:szCs w:val="36"/>
          <w:highlight w:val="none"/>
        </w:rPr>
        <w:t xml:space="preserve">连云港市残疾人寄宿制托养服务对象满意度测评表</w:t>
      </w:r>
      <w:r/>
    </w:p>
    <w:p>
      <w:pPr>
        <w:ind w:firstLine="600"/>
        <w:spacing w:line="440" w:lineRule="exact"/>
        <w:rPr>
          <w:rFonts w:ascii="仿宋_GB2312" w:hAnsi="Calibri" w:eastAsia="仿宋_GB2312" w:cs="Times New Roman"/>
          <w:color w:val="auto"/>
          <w:sz w:val="30"/>
          <w:szCs w:val="30"/>
          <w:highlight w:val="none"/>
        </w:rPr>
      </w:pPr>
      <w:r>
        <w:rPr>
          <w:rFonts w:ascii="仿宋_GB2312" w:hAnsi="Calibri" w:eastAsia="仿宋_GB2312" w:cs="Times New Roman"/>
          <w:color w:val="auto"/>
          <w:sz w:val="30"/>
          <w:szCs w:val="30"/>
          <w:highlight w:val="none"/>
        </w:rPr>
      </w:r>
      <w:r/>
    </w:p>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被调查残疾人姓名：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60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入托时间：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        残疾类别及等级：</w:t>
      </w:r>
      <w:r>
        <w:rPr>
          <w:rFonts w:hint="eastAsia" w:ascii="宋体" w:hAnsi="宋体" w:eastAsia="宋体" w:cs="宋体"/>
          <w:color w:val="auto"/>
          <w:sz w:val="21"/>
          <w:szCs w:val="21"/>
          <w:highlight w:val="none"/>
          <w:u w:val="single"/>
        </w:rPr>
        <w:t xml:space="preserve">                           </w:t>
      </w:r>
      <w:r/>
    </w:p>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填表人姓名：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与被调查人关系 ○本人 ○家属或监护人 ○其他    </w:t>
      </w:r>
      <w:r/>
    </w:p>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为提高和改进我们的托养服务，请您对机构的服务进行评价，并在○处打√：</w:t>
      </w:r>
      <w:r/>
    </w:p>
    <w:tbl>
      <w:tblPr>
        <w:tblStyle w:val="877"/>
        <w:tblW w:w="13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7"/>
        <w:gridCol w:w="2452"/>
        <w:gridCol w:w="2298"/>
        <w:gridCol w:w="2412"/>
        <w:gridCol w:w="2094"/>
        <w:gridCol w:w="2094"/>
      </w:tblGrid>
      <w:tr>
        <w:trPr>
          <w:jc w:val="center"/>
          <w:trHeight w:val="534" w:hRule="exact"/>
        </w:trPr>
        <w:tc>
          <w:tcPr>
            <w:tcW w:w="2347" w:type="dxa"/>
            <w:vAlign w:val="center"/>
            <w:vMerge w:val="restart"/>
            <w:textDirection w:val="tbRlV"/>
            <w:noWrap w:val="false"/>
          </w:tcPr>
          <w:p>
            <w:pPr>
              <w:ind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服务项目</w:t>
            </w:r>
            <w:r/>
          </w:p>
        </w:tc>
        <w:tc>
          <w:tcPr>
            <w:tcW w:w="24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设施条件</w:t>
            </w:r>
            <w:r/>
          </w:p>
        </w:tc>
        <w:tc>
          <w:tcPr>
            <w:tcW w:w="229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卫生环境</w:t>
            </w:r>
            <w:r/>
          </w:p>
        </w:tc>
        <w:tc>
          <w:tcPr>
            <w:tcW w:w="24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服务仪表</w:t>
            </w:r>
            <w:r/>
          </w:p>
        </w:tc>
        <w:tc>
          <w:tcPr>
            <w:tcW w:w="20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服务态度</w:t>
            </w:r>
            <w:r/>
          </w:p>
        </w:tc>
        <w:tc>
          <w:tcPr>
            <w:tcW w:w="20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服务能力</w:t>
            </w:r>
            <w:r/>
          </w:p>
        </w:tc>
      </w:tr>
      <w:tr>
        <w:trPr>
          <w:jc w:val="center"/>
          <w:trHeight w:val="2211" w:hRule="exact"/>
        </w:trPr>
        <w:tc>
          <w:tcPr>
            <w:tcW w:w="2347" w:type="dxa"/>
            <w:vAlign w:val="center"/>
            <w:vMerge w:val="continue"/>
            <w:textDirection w:val="lrTb"/>
            <w:noWrap w:val="false"/>
          </w:tcPr>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设置的服务设施：如宿舍、食堂、卫生间、康复训练室、培训教室、劳动工场等保持整洁。</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9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宿舍室内应保持干净、空气新鲜、无异味，生活用品摆放整齐，卫生间保持清洁。宿舍和公共空间无安全隐患。</w:t>
            </w:r>
            <w:r/>
          </w:p>
        </w:tc>
        <w:tc>
          <w:tcPr>
            <w:tcW w:w="24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工作人员统一着装，佩胸卡，衣着整洁。</w:t>
            </w:r>
            <w:r/>
          </w:p>
        </w:tc>
        <w:tc>
          <w:tcPr>
            <w:tcW w:w="2094"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工作人员服务时应文明友善、耐心细致，尊重服务对象及其家属、监护人，穿戴整洁，佩戴服务标识，保持个人卫生。</w:t>
            </w:r>
            <w:r/>
          </w:p>
        </w:tc>
        <w:tc>
          <w:tcPr>
            <w:tcW w:w="2094"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服务团队专业规范，具体相应的专为能力，提供的服务规范。</w:t>
            </w:r>
            <w:r/>
          </w:p>
        </w:tc>
      </w:tr>
      <w:tr>
        <w:trPr>
          <w:cantSplit/>
          <w:jc w:val="center"/>
          <w:trHeight w:val="1974"/>
        </w:trPr>
        <w:tc>
          <w:tcPr>
            <w:tcW w:w="2347" w:type="dxa"/>
            <w:vAlign w:val="center"/>
            <w:textDirection w:val="tbRlV"/>
            <w:noWrap w:val="false"/>
          </w:tcPr>
          <w:p>
            <w:pPr>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测评情况</w:t>
            </w:r>
            <w:r/>
          </w:p>
        </w:tc>
        <w:tc>
          <w:tcPr>
            <w:tcW w:w="2452"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298"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412"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094"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094"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r>
    </w:tbl>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877"/>
        <w:tblW w:w="13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57"/>
        <w:gridCol w:w="2763"/>
        <w:gridCol w:w="2303"/>
        <w:gridCol w:w="2148"/>
        <w:gridCol w:w="1996"/>
        <w:gridCol w:w="2149"/>
      </w:tblGrid>
      <w:tr>
        <w:trPr>
          <w:jc w:val="center"/>
          <w:trHeight w:val="718" w:hRule="exact"/>
        </w:trPr>
        <w:tc>
          <w:tcPr>
            <w:tcW w:w="2457" w:type="dxa"/>
            <w:vAlign w:val="center"/>
            <w:vMerge w:val="restart"/>
            <w:textDirection w:val="tbRlV"/>
            <w:noWrap w:val="false"/>
          </w:tcPr>
          <w:p>
            <w:pPr>
              <w:ind w:right="113"/>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服务项目</w:t>
            </w:r>
            <w:r/>
          </w:p>
        </w:tc>
        <w:tc>
          <w:tcPr>
            <w:tcW w:w="276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一日三餐</w:t>
            </w:r>
            <w:r/>
          </w:p>
        </w:tc>
        <w:tc>
          <w:tcPr>
            <w:tcW w:w="230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生活护理</w:t>
            </w:r>
            <w:r/>
          </w:p>
        </w:tc>
        <w:tc>
          <w:tcPr>
            <w:tcW w:w="2148"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康复保健</w:t>
            </w:r>
            <w:r/>
          </w:p>
        </w:tc>
        <w:tc>
          <w:tcPr>
            <w:tcW w:w="1996"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沟通交流</w:t>
            </w:r>
            <w:r/>
          </w:p>
        </w:tc>
        <w:tc>
          <w:tcPr>
            <w:tcW w:w="2149"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总体评价</w:t>
            </w:r>
            <w:r/>
          </w:p>
        </w:tc>
      </w:tr>
      <w:tr>
        <w:trPr>
          <w:jc w:val="center"/>
          <w:trHeight w:val="2552" w:hRule="exact"/>
        </w:trPr>
        <w:tc>
          <w:tcPr>
            <w:tcW w:w="2457" w:type="dxa"/>
            <w:vAlign w:val="center"/>
            <w:vMerge w:val="continue"/>
            <w:textDirection w:val="lrTb"/>
            <w:noWrap w:val="false"/>
          </w:tcPr>
          <w:p>
            <w:pPr>
              <w:ind w:firstLine="420"/>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63"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按时提供一日三餐，全天供应冷热饮用水，每周翻新食谱，保证餐饮安全、营养和健康。</w:t>
            </w:r>
            <w:r/>
          </w:p>
        </w:tc>
        <w:tc>
          <w:tcPr>
            <w:tcW w:w="2303"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为服务对象提供衣物换洗、日常照料等护理服务，协助服务对象管理日常生活。</w:t>
            </w:r>
            <w:r/>
          </w:p>
        </w:tc>
        <w:tc>
          <w:tcPr>
            <w:tcW w:w="2148"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为服务对象提供康复保健服务，严格实施代发代管药品。</w:t>
            </w:r>
            <w:r/>
          </w:p>
        </w:tc>
        <w:tc>
          <w:tcPr>
            <w:tcW w:w="1996"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定期开展沟通交流服务，同时积极安排监护人、志愿者与残疾人进行沟通交流，开展适宜的集体活动。</w:t>
            </w:r>
            <w:r/>
          </w:p>
        </w:tc>
        <w:tc>
          <w:tcPr>
            <w:tcW w:w="2149"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对托养中心提供的托养服务作总体评价。</w:t>
            </w:r>
            <w:r/>
          </w:p>
        </w:tc>
      </w:tr>
      <w:tr>
        <w:trPr>
          <w:cantSplit/>
          <w:jc w:val="center"/>
          <w:trHeight w:val="2424"/>
        </w:trPr>
        <w:tc>
          <w:tcPr>
            <w:tcW w:w="2457" w:type="dxa"/>
            <w:vAlign w:val="center"/>
            <w:textDirection w:val="tbRlV"/>
            <w:noWrap w:val="false"/>
          </w:tcPr>
          <w:p>
            <w:pPr>
              <w:ind w:left="113" w:right="113"/>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测评情况</w:t>
            </w:r>
            <w:r/>
          </w:p>
        </w:tc>
        <w:tc>
          <w:tcPr>
            <w:tcW w:w="2763"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303"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148"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1996"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149"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r>
      <w:tr>
        <w:trPr>
          <w:cantSplit/>
          <w:jc w:val="center"/>
          <w:trHeight w:val="1558"/>
        </w:trPr>
        <w:tc>
          <w:tcPr>
            <w:tcW w:w="2457" w:type="dxa"/>
            <w:vAlign w:val="center"/>
            <w:textDirection w:val="tbRlV"/>
            <w:noWrap w:val="false"/>
          </w:tcPr>
          <w:p>
            <w:pPr>
              <w:ind w:right="113"/>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其他建议</w:t>
            </w:r>
            <w:r/>
          </w:p>
        </w:tc>
        <w:tc>
          <w:tcPr>
            <w:gridSpan w:val="5"/>
            <w:tcW w:w="11359"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700"/>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备注：测评总分共100分，每个服务项目测评“满意”得10分、“基本满意”得8分、“一般”得5分。</w:t>
      </w:r>
      <w:r/>
    </w:p>
    <w:p>
      <w:pPr>
        <w:ind w:firstLine="700"/>
        <w:rPr>
          <w:rFonts w:hint="eastAsia" w:ascii="仿宋_GB2312" w:hAnsi="Calibri" w:eastAsia="仿宋_GB2312" w:cs="Times New Roman"/>
          <w:color w:val="auto"/>
          <w:sz w:val="28"/>
          <w:szCs w:val="28"/>
          <w:highlight w:val="none"/>
        </w:rPr>
      </w:pPr>
      <w:r>
        <w:rPr>
          <w:rFonts w:hint="eastAsia" w:ascii="仿宋_GB2312" w:hAnsi="Calibri" w:eastAsia="仿宋_GB2312" w:cs="Times New Roman"/>
          <w:color w:val="auto"/>
          <w:sz w:val="28"/>
          <w:szCs w:val="28"/>
          <w:highlight w:val="none"/>
        </w:rPr>
      </w:r>
      <w:r/>
    </w:p>
    <w:p>
      <w:pPr>
        <w:ind w:firstLine="700"/>
        <w:rPr>
          <w:rFonts w:hint="eastAsia" w:ascii="仿宋_GB2312" w:hAnsi="Calibri" w:eastAsia="仿宋_GB2312" w:cs="Times New Roman"/>
          <w:color w:val="auto"/>
          <w:sz w:val="28"/>
          <w:szCs w:val="28"/>
          <w:highlight w:val="none"/>
        </w:rPr>
        <w:sectPr>
          <w:footnotePr/>
          <w:endnotePr/>
          <w:type w:val="nextPage"/>
          <w:pgSz w:w="16838" w:h="11906" w:orient="landscape"/>
          <w:pgMar w:top="1423" w:right="1440" w:bottom="1134" w:left="1440" w:header="851" w:footer="510" w:gutter="0"/>
          <w:cols w:num="1" w:sep="0" w:space="720" w:equalWidth="1"/>
          <w:docGrid w:linePitch="360"/>
          <w:titlePg/>
        </w:sectPr>
      </w:pPr>
      <w:r>
        <w:rPr>
          <w:rFonts w:hint="eastAsia" w:ascii="仿宋_GB2312" w:hAnsi="Calibri" w:eastAsia="仿宋_GB2312" w:cs="Times New Roman"/>
          <w:color w:val="auto"/>
          <w:sz w:val="28"/>
          <w:szCs w:val="28"/>
          <w:highlight w:val="none"/>
        </w:rPr>
      </w:r>
      <w:r/>
    </w:p>
    <w:p>
      <w:pPr>
        <w:pStyle w:val="933"/>
        <w:rPr>
          <w:color w:val="auto"/>
          <w:highlight w:val="none"/>
        </w:rPr>
      </w:pPr>
      <w:r>
        <w:rPr>
          <w:color w:val="auto"/>
          <w:highlight w:val="none"/>
        </w:rPr>
      </w:r>
      <w:r/>
    </w:p>
    <w:p>
      <w:pPr>
        <w:pStyle w:val="867"/>
        <w:keepNext w:val="0"/>
        <w:spacing w:line="360" w:lineRule="auto"/>
        <w:rPr>
          <w:rFonts w:ascii="Times New Roman" w:hAnsi="Times New Roman"/>
          <w:color w:val="auto"/>
          <w:sz w:val="36"/>
          <w:szCs w:val="36"/>
          <w:highlight w:val="none"/>
        </w:rPr>
      </w:pPr>
      <w:r/>
      <w:bookmarkStart w:id="40" w:name="_Toc5536"/>
      <w:r>
        <w:rPr>
          <w:rFonts w:ascii="Times New Roman" w:hAnsi="Times New Roman"/>
          <w:color w:val="auto"/>
          <w:sz w:val="36"/>
          <w:szCs w:val="36"/>
          <w:highlight w:val="none"/>
        </w:rPr>
        <w:t xml:space="preserve">第四章 </w:t>
      </w:r>
      <w:bookmarkEnd w:id="36"/>
      <w:r/>
      <w:bookmarkEnd w:id="37"/>
      <w:r/>
      <w:bookmarkStart w:id="41" w:name="_Hlk188525560"/>
      <w:r>
        <w:rPr>
          <w:rFonts w:ascii="Times New Roman" w:hAnsi="Times New Roman"/>
          <w:color w:val="auto"/>
          <w:sz w:val="36"/>
          <w:szCs w:val="36"/>
          <w:highlight w:val="none"/>
        </w:rPr>
        <w:t xml:space="preserve">项目需求</w:t>
      </w:r>
      <w:bookmarkEnd w:id="38"/>
      <w:r/>
      <w:bookmarkEnd w:id="39"/>
      <w:r/>
      <w:bookmarkEnd w:id="40"/>
      <w:r/>
      <w:bookmarkStart w:id="42" w:name="_Toc61149622"/>
      <w:r/>
      <w:bookmarkStart w:id="43" w:name="_Toc26554097"/>
      <w:r/>
      <w:bookmarkStart w:id="44" w:name="_Toc23828480"/>
      <w:r/>
      <w:r/>
    </w:p>
    <w:p>
      <w:pPr>
        <w:ind w:firstLine="482"/>
        <w:spacing w:line="360" w:lineRule="auto"/>
        <w:rPr>
          <w:rFonts w:hint="eastAsia" w:ascii="宋体" w:hAnsi="宋体" w:eastAsia="宋体" w:cs="宋体"/>
          <w:b/>
          <w:color w:val="auto"/>
          <w:sz w:val="24"/>
          <w:szCs w:val="24"/>
          <w:highlight w:val="none"/>
        </w:rPr>
      </w:pPr>
      <w:r/>
      <w:bookmarkStart w:id="45" w:name="_Toc25773"/>
      <w:r/>
      <w:bookmarkStart w:id="46" w:name="_Toc465856615"/>
      <w:r>
        <w:rPr>
          <w:rFonts w:hint="eastAsia" w:ascii="宋体" w:hAnsi="宋体" w:eastAsia="宋体" w:cs="宋体"/>
          <w:b/>
          <w:color w:val="auto"/>
          <w:sz w:val="24"/>
          <w:szCs w:val="24"/>
          <w:highlight w:val="none"/>
        </w:rPr>
        <w:t xml:space="preserve">说明：本项目采购方式为</w:t>
      </w:r>
      <w:r>
        <w:rPr>
          <w:rFonts w:hint="eastAsia" w:ascii="宋体" w:hAnsi="宋体" w:eastAsia="宋体" w:cs="宋体"/>
          <w:b/>
          <w:color w:val="auto"/>
          <w:sz w:val="24"/>
          <w:szCs w:val="24"/>
          <w:highlight w:val="none"/>
          <w:lang w:val="en-US" w:eastAsia="zh-CN"/>
        </w:rPr>
        <w:t xml:space="preserve">竞争性磋商</w:t>
      </w:r>
      <w:r>
        <w:rPr>
          <w:rFonts w:hint="eastAsia" w:ascii="宋体" w:hAnsi="宋体" w:eastAsia="宋体" w:cs="宋体"/>
          <w:b/>
          <w:color w:val="auto"/>
          <w:sz w:val="24"/>
          <w:szCs w:val="24"/>
          <w:highlight w:val="none"/>
        </w:rPr>
        <w:t xml:space="preserve">，项目属性为服务，采购标的对应的中小企业划分标准所属行业为</w:t>
      </w:r>
      <w:r>
        <w:rPr>
          <w:rFonts w:hint="eastAsia" w:ascii="宋体" w:hAnsi="宋体" w:eastAsia="宋体" w:cs="宋体"/>
          <w:b/>
          <w:color w:val="auto"/>
          <w:sz w:val="24"/>
          <w:szCs w:val="24"/>
          <w:highlight w:val="none"/>
          <w:u w:val="single"/>
        </w:rPr>
        <w:t xml:space="preserve">  其他未列明行业  </w:t>
      </w:r>
      <w:r>
        <w:rPr>
          <w:rFonts w:hint="eastAsia" w:ascii="宋体" w:hAnsi="宋体" w:eastAsia="宋体" w:cs="宋体"/>
          <w:b/>
          <w:color w:val="auto"/>
          <w:sz w:val="24"/>
          <w:szCs w:val="24"/>
          <w:highlight w:val="none"/>
        </w:rPr>
        <w:t xml:space="preserve">。</w:t>
      </w:r>
      <w:r/>
    </w:p>
    <w:p>
      <w:pPr>
        <w:ind w:firstLine="480"/>
        <w:jc w:val="left"/>
        <w:spacing w:line="360" w:lineRule="auto"/>
        <w:rPr>
          <w:rFonts w:eastAsia="Arial"/>
          <w:color w:val="auto"/>
          <w:sz w:val="24"/>
          <w:highlight w:val="none"/>
        </w:rPr>
      </w:pPr>
      <w:r>
        <w:rPr>
          <w:rFonts w:eastAsia="Arial"/>
          <w:color w:val="auto"/>
          <w:sz w:val="24"/>
          <w:highlight w:val="none"/>
        </w:rPr>
        <w:t xml:space="preserve">1、根据《政府采购需求管理办法》等有关规定，采购人确定采购需求。</w:t>
      </w:r>
      <w:r/>
    </w:p>
    <w:p>
      <w:pPr>
        <w:ind w:firstLine="480"/>
        <w:jc w:val="left"/>
        <w:spacing w:line="360" w:lineRule="auto"/>
        <w:rPr>
          <w:rFonts w:eastAsia="Arial"/>
          <w:color w:val="auto"/>
          <w:sz w:val="24"/>
          <w:highlight w:val="none"/>
        </w:rPr>
      </w:pPr>
      <w:r>
        <w:rPr>
          <w:rFonts w:eastAsia="Arial"/>
          <w:color w:val="auto"/>
          <w:sz w:val="24"/>
          <w:highlight w:val="none"/>
        </w:rPr>
        <w:t xml:space="preserve">2、</w:t>
      </w:r>
      <w:r>
        <w:rPr>
          <w:rFonts w:eastAsia="Arial"/>
          <w:b/>
          <w:color w:val="auto"/>
          <w:sz w:val="24"/>
          <w:highlight w:val="none"/>
        </w:rPr>
        <w:t xml:space="preserve">本磋商文件中标注★的款项为实质性要求和条件</w:t>
      </w:r>
      <w:r>
        <w:rPr>
          <w:rFonts w:eastAsia="Arial"/>
          <w:color w:val="auto"/>
          <w:sz w:val="24"/>
          <w:highlight w:val="none"/>
        </w:rPr>
        <w:t xml:space="preserve">，由采购人根据实际情况设置，供应商须逐条明确作出满足实质性要求和条件的响应，否则将按无效响应处理。</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一、项目背景</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为落实省关于残疾人托养民生实事有关要求，做好残疾人托养服务工作，建立起残疾人托养服务体系，本项目为2026-2027年灌云县残疾人寄宿制托养服务采购项目，重度失能残疾人寄宿制托养服务人数暂定为</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轻度残疾人</w:t>
      </w:r>
      <w:r>
        <w:rPr>
          <w:rFonts w:hint="eastAsia" w:ascii="宋体" w:hAnsi="宋体" w:eastAsia="宋体" w:cs="宋体"/>
          <w:color w:val="auto"/>
          <w:sz w:val="24"/>
          <w:szCs w:val="24"/>
          <w:highlight w:val="none"/>
        </w:rPr>
        <w:t xml:space="preserve">寄宿制托养服务人数</w:t>
      </w:r>
      <w:r>
        <w:rPr>
          <w:rFonts w:hint="eastAsia" w:ascii="宋体" w:hAnsi="宋体" w:eastAsia="宋体" w:cs="宋体"/>
          <w:color w:val="auto"/>
          <w:sz w:val="24"/>
          <w:szCs w:val="24"/>
          <w:highlight w:val="none"/>
          <w:lang w:val="en-US" w:eastAsia="zh-CN"/>
        </w:rPr>
        <w:t xml:space="preserve">暂定人数</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按照《连云港市残疾人托养服务实施方案》内容要求，以残疾人需求为导向，采用24小时集中居住和照料模式，主要提供生活照料及护理、生活自理和社会适应能力训练等服务，更好的为残疾人提供针对性的寄宿制托养服务。</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（一）指导思想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以残疾人需求为导向，以省残联《关于加强残疾人托养服务的实施意见》为依据，整合社会托养服务资源，全面深化残疾人寄宿制托养服务，提升残疾人幸福指数，实现托养一人，幸福一家。</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（二）基本原则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坚持政府主导，将残疾人托养服务纳入基本公共服务内容优先发展；坚持保障急需，循序渐进推进残疾人托养服务稳步发展；坚持动员社会，多元化促进残疾人托养服务体系建设；坚持资源共享，统筹推动各类资源向残疾人托养服务领域集聚；坚持因地制宜，积极探索创新残疾人托养服务模式。</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二、项目概况</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（一）服务对象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具有灌云县户籍，持有《中华人民共和国残疾人证》（第二代），年龄在15-59 周岁长期卧床或严重行为障碍的生活明显不能自理、家庭无照护能力的低保家庭、低收入家庭、“一户多残 ”家庭、享受“两项补贴 ”家庭中无固定收入重残生活补贴的智力、精神、肢体残疾人。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具有灌云县户籍，持有《中华人民共和国残疾人证》（第二代），年龄在15-59 周岁</w:t>
      </w:r>
      <w:r>
        <w:rPr>
          <w:rFonts w:hint="eastAsia" w:ascii="宋体" w:hAnsi="宋体" w:cs="宋体"/>
          <w:color w:val="auto"/>
          <w:sz w:val="24"/>
          <w:szCs w:val="24"/>
          <w:highlight w:val="none"/>
          <w:lang w:val="en-US" w:eastAsia="zh-CN"/>
        </w:rPr>
        <w:t xml:space="preserve">有一定行为障碍的具有半自理或自理能力的</w:t>
      </w:r>
      <w:r>
        <w:rPr>
          <w:rFonts w:hint="eastAsia" w:ascii="宋体" w:hAnsi="宋体" w:eastAsia="宋体" w:cs="宋体"/>
          <w:color w:val="auto"/>
          <w:sz w:val="24"/>
          <w:szCs w:val="24"/>
          <w:highlight w:val="none"/>
        </w:rPr>
        <w:t xml:space="preserve">低保家庭、低收入家庭、“一户多残 ”家庭、享受“两项补贴 ”家庭中无固定收入重残生活补贴的</w:t>
      </w:r>
      <w:r>
        <w:rPr>
          <w:rFonts w:hint="eastAsia" w:ascii="宋体" w:hAnsi="宋体" w:cs="宋体"/>
          <w:color w:val="auto"/>
          <w:sz w:val="24"/>
          <w:szCs w:val="24"/>
          <w:highlight w:val="none"/>
          <w:lang w:val="en-US" w:eastAsia="zh-CN"/>
        </w:rPr>
        <w:t xml:space="preserve">无业轻度</w:t>
      </w:r>
      <w:r>
        <w:rPr>
          <w:rFonts w:hint="eastAsia" w:ascii="宋体" w:hAnsi="宋体" w:eastAsia="宋体" w:cs="宋体"/>
          <w:color w:val="auto"/>
          <w:sz w:val="24"/>
          <w:szCs w:val="24"/>
          <w:highlight w:val="none"/>
        </w:rPr>
        <w:t xml:space="preserve">智力、精神</w:t>
      </w:r>
      <w:r>
        <w:rPr>
          <w:rFonts w:hint="eastAsia" w:ascii="宋体" w:hAnsi="宋体" w:cs="宋体"/>
          <w:color w:val="auto"/>
          <w:sz w:val="24"/>
          <w:szCs w:val="24"/>
          <w:highlight w:val="none"/>
          <w:lang w:val="en-US" w:eastAsia="zh-CN"/>
        </w:rPr>
        <w:t xml:space="preserve">和重度</w:t>
      </w:r>
      <w:r>
        <w:rPr>
          <w:rFonts w:hint="eastAsia" w:ascii="宋体" w:hAnsi="宋体" w:eastAsia="宋体" w:cs="宋体"/>
          <w:color w:val="auto"/>
          <w:sz w:val="24"/>
          <w:szCs w:val="24"/>
          <w:highlight w:val="none"/>
        </w:rPr>
        <w:t xml:space="preserve">肢体残疾人。</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服务方式</w:t>
      </w:r>
      <w:r/>
    </w:p>
    <w:p>
      <w:pPr>
        <w:pStyle w:val="912"/>
        <w:ind w:firstLine="480"/>
        <w:keepLines w:val="0"/>
        <w:keepNext w:val="0"/>
        <w:pageBreakBefore w:val="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color w:val="auto"/>
          <w:sz w:val="24"/>
          <w:highlight w:val="none"/>
        </w:rPr>
        <w:t xml:space="preserve">按照《连云港市残疾人托养服务实施方案》内容要求，以残疾人需求为导向，采用 24 小时集中居住和照料模式，主要提供生活照料及护理、生活自理和社会适应能力训练等服务，更好的为残疾人提供针对性的寄宿制托养服务。</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）服务人数及</w:t>
      </w:r>
      <w:r>
        <w:rPr>
          <w:rFonts w:hint="eastAsia" w:ascii="宋体" w:hAnsi="宋体" w:eastAsia="宋体" w:cs="宋体"/>
          <w:b/>
          <w:bCs/>
          <w:color w:val="auto"/>
          <w:sz w:val="24"/>
          <w:szCs w:val="24"/>
          <w:highlight w:val="none"/>
          <w:lang w:val="en-US" w:eastAsia="zh-CN"/>
        </w:rPr>
        <w:t xml:space="preserve">最高单价限价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服务人数：暂定</w:t>
      </w: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其中重度残疾人暂定人数</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人，轻度残疾人暂定人数</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人；残疾人类别根据实际招收情况，具体人数以实际托养的人数为准；合同履行期间，实际托养人数不足暂定总数80%时，进行动态招收补齐至暂定总数的80%。</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最高</w:t>
      </w:r>
      <w:r>
        <w:rPr>
          <w:rFonts w:hint="eastAsia" w:ascii="宋体" w:hAnsi="宋体" w:eastAsia="宋体" w:cs="宋体"/>
          <w:color w:val="auto"/>
          <w:sz w:val="24"/>
          <w:szCs w:val="24"/>
          <w:highlight w:val="none"/>
          <w:lang w:val="en-US" w:eastAsia="zh-CN"/>
        </w:rPr>
        <w:t xml:space="preserve">单价</w:t>
      </w:r>
      <w:r>
        <w:rPr>
          <w:rFonts w:hint="eastAsia" w:ascii="宋体" w:hAnsi="宋体" w:cs="宋体"/>
          <w:color w:val="auto"/>
          <w:sz w:val="24"/>
          <w:szCs w:val="24"/>
          <w:highlight w:val="none"/>
          <w:lang w:val="en-US" w:eastAsia="zh-CN"/>
        </w:rPr>
        <w:t xml:space="preserve">限价</w:t>
      </w:r>
      <w:r>
        <w:rPr>
          <w:rFonts w:hint="eastAsia" w:ascii="宋体" w:hAnsi="宋体" w:eastAsia="宋体" w:cs="宋体"/>
          <w:color w:val="auto"/>
          <w:sz w:val="24"/>
          <w:szCs w:val="24"/>
          <w:highlight w:val="none"/>
          <w:lang w:val="en-US" w:eastAsia="zh-CN"/>
        </w:rPr>
        <w:t xml:space="preserve">：重度残疾人3300 元/人/月，轻度残疾人1800元/人/月，结算时按实际人员入托情况和考核评估结果拨付，具体要求详见项目需求。其中入托残疾人个人缴纳护理补贴费用</w:t>
      </w:r>
      <w:r>
        <w:rPr>
          <w:rFonts w:hint="eastAsia" w:ascii="宋体" w:hAnsi="宋体" w:cs="宋体"/>
          <w:color w:val="auto"/>
          <w:sz w:val="24"/>
          <w:szCs w:val="24"/>
          <w:highlight w:val="none"/>
          <w:lang w:val="en-US" w:eastAsia="zh-CN"/>
        </w:rPr>
        <w:t xml:space="preserve">按托养期间的文件进行动态调整</w:t>
      </w:r>
      <w:r>
        <w:rPr>
          <w:rFonts w:hint="eastAsia" w:ascii="宋体" w:hAnsi="宋体" w:eastAsia="宋体" w:cs="宋体"/>
          <w:color w:val="auto"/>
          <w:sz w:val="24"/>
          <w:szCs w:val="24"/>
          <w:highlight w:val="none"/>
          <w:lang w:val="en-US" w:eastAsia="zh-CN"/>
        </w:rPr>
        <w:t xml:space="preserve">，其余经费由残联补贴。</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）服务内容及标准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服务内容按照连残发〔2021〕24 号、连残发〔2022〕49 号、连残发〔2022〕 52 号、连残发〔2022〕65 号、连残发〔2022〕67 号、灌残发（2022）47 号、灌残发（2022）62 号文件执行，服务期限内如上级部门出台新政策文件规定，需遵照执行，包含但不限于以下服务内容：</w:t>
      </w:r>
      <w:r/>
    </w:p>
    <w:p>
      <w:pPr>
        <w:numPr>
          <w:ilvl w:val="0"/>
          <w:numId w:val="4"/>
        </w:num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（1）生活照料和护理：为服务对象提供日常生活照顾、护理以及健康生活所需的基本服务。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生活自理能力训练：为服务对象提供其能力范围内的衣食住行等日常生活基本能力训练服务。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社会适应能力训练：为服务对象提供有针对性的社会适应能力康复训练服务、基本的文化体育娱乐等休闲活动服务和一般性心理咨询辅导服务务，通过特定场景或模拟重现等方式帮助服务对象了解、熟悉社会场景，克服或缓解心理和行为障碍，改善不良意识、行为和消极倾向，逐渐掌握社会交往的基本技能，为适宜的服务对象提供参与真实社会活动的机会。</w:t>
      </w:r>
      <w:r/>
    </w:p>
    <w:p>
      <w:pPr>
        <w:ind w:firstLine="480"/>
        <w:keepLines w:val="0"/>
        <w:keepNext w:val="0"/>
        <w:pageBreakBefore w:val="0"/>
        <w:spacing w:line="44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职业康复和劳动技能训练：根据服务对象的情况有针对性地提供适合其身体和心理条件状况的技能培训课程和训练服务，为服务对象提供自愿参与简单生产劳动的机会，对有一定劳动能力并有就业意愿的服务对象进行就业训练和职业康复服务。</w:t>
      </w:r>
      <w:r>
        <w:rPr>
          <w:rFonts w:hint="eastAsia" w:ascii="宋体" w:hAnsi="宋体" w:cs="宋体"/>
          <w:color w:val="auto"/>
          <w:sz w:val="24"/>
          <w:szCs w:val="24"/>
          <w:highlight w:val="none"/>
          <w:lang w:eastAsia="zh-CN"/>
        </w:rPr>
        <w:br/>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辅助性就业：针对精神、智力和重度残疾人因劳动就业能力不足，无法进入竞争性就业市场的实际状况，通过集中组织残疾人参加适当生产劳动，帮助其提高劳动技能、改善身体生活状况，寄宿制托养机构可设劳动车间、辅助性就业工厂等，安排工疗、农疗等庇护性劳动项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）运动功能训练：为已接受过医疗康复服务的服务对象开展以运动功能和日常生活活动为主的运动康复训练，增强其生活自理能力和参与社会生活的能力，并为服务对象提供必要的医疗卫生保健服务。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）医疗服务：配置专业医务人员和护士，为服务对象提供专业的医疗康复、卫生保健和常见病、多发病、日常药品发放等服务。</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2.服务标准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（1）生活照料和护理：遵照执行《关于印发&lt;连云港市寄</w:t>
      </w:r>
      <w:r>
        <w:rPr>
          <w:rFonts w:hint="eastAsia" w:ascii="宋体" w:hAnsi="宋体" w:eastAsia="宋体" w:cs="宋体"/>
          <w:color w:val="auto"/>
          <w:sz w:val="24"/>
          <w:szCs w:val="24"/>
          <w:highlight w:val="none"/>
        </w:rPr>
        <w:t xml:space="preserve">宿制托养机构膳食管理办法&gt;的通知》（连残发〔2022〕49 号）文件精神，建立服务机构膳食管理机制，实行属地管理、全程监控，服务机构负责人应当保障残疾人寄宿制托养机构膳食投入并对膳食管理负责，负责制定食堂管理、费用管理、食品安全、采购管理、账务公开等方面的管理制度并督促检查落实情况，建立膳食管理档案。伙食标准按照不低于20 元/人/天执行。每日制定食谱并上墙公告。每天包含四顿，早餐含有鸡蛋或牛奶，搭配一个炒素菜和一个开胃小菜，主食一周不重样。午餐一荤两素一汤和主食。下午茶有水果或点心。晚餐有一荤一素和主食。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根据每人需求提供起床、洗漱、穿脱衣物等起居服务，协助服务对象洗浴或擦身（夏季每天不少于1次，其它季节每周不少于1次）、如厕及便后清洁、身体清洁理发等护理服务，床铺</w:t>
      </w:r>
      <w:r>
        <w:rPr>
          <w:rFonts w:hint="eastAsia" w:ascii="宋体" w:hAnsi="宋体" w:eastAsia="宋体" w:cs="宋体"/>
          <w:color w:val="auto"/>
          <w:sz w:val="24"/>
          <w:szCs w:val="24"/>
          <w:highlight w:val="none"/>
        </w:rPr>
        <w:t xml:space="preserve">整理、室内清洁通风消毒等卫生服务。为有需求的人提供服药、辅具使用、陪护购物等特殊服务。保持服务对象衣服、被物的卫生、整洁、得体，定期换洗贴身内衣，夏季每天换洗，其它季节一周不少于3次；外衣裤，每月至少换洗 2 次；当内、外衣物有明显污渍时，则及时换洗。协助进行户外活动，在正常天气条件下，每天户外活动不少于2小时。每个人入托前都为其提供健康体检服务并记录健康档案，定期提供健康体检服务。长期卧床的托养人员每隔2小时翻身按摩一次。护理患有特殊疾病的服务对象时，应注意观察。为特殊护理的服务对象提供24小时护理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活自理能力训练：指导服务对象进行基本生活自理活动训练，使其能够自行洗漱、如厕、穿衣、吃饭等；指导服务对象学习简单家务和劳动，使其逐渐学会煮饭、择菜、整理床铺、洗衣服、打扫卫生等活动；设计适宜的训练课程，发掘其生活自理能力方面可能存在的其他潜力。如制作面食、烘焙饼干、缝制衣物等；根据服务对象的特点制定适宜的训练计划，训练结果应记录存档，并依此调整或完善训练计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社会适应能力辅导：为服务对象制定社会适应能力辅导计划，根据其恢复和提升情况适时调整社会适应辅导计划；为服务对象普及礼仪知识、法律知识等基本社会行为准则和常识；开展适宜的文化、体育、娱乐活动，可以根据实际情况组织比赛、展示或表演，使其具备基本的人际交往兴趣和能力；指导服务对象在模拟超市、银行、医院、邮局、公共交通等简单社会场景中进行社会适应性训练，提高其参与社会生活的能力；为服务对象提供日常心理疏导和心理健康服务； 以及教育培训、图书阅览、上网和收看收听电视广播等服务。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）职业康复与劳动技能训练:定期开展身体功能评估和劳动能力评估，适时对服务对象的职业适应性进行测评，及时调</w:t>
      </w:r>
      <w:r>
        <w:rPr>
          <w:rFonts w:hint="eastAsia" w:ascii="宋体" w:hAnsi="宋体" w:cs="宋体"/>
          <w:color w:val="auto"/>
          <w:sz w:val="24"/>
          <w:szCs w:val="24"/>
          <w:highlight w:val="none"/>
          <w:lang w:eastAsia="zh-CN"/>
        </w:rPr>
        <w:t xml:space="preserve">整职业康复与劳动技能训练计划;开展与服务对象行为能力相适应的简单基本生产劳动，但在其参与生产劳动之前，应根据个体实际情况进行必要的培训;根据实际情况开设专业的劳动技能培训课程，开发服务对象的职业能力;有条件的托养服务机构还可定期组织技能展示、竞赛等相关活动;为有需要的服务对象提供职业指导、职业心理咨询、职业适应评定、职业康复训练、职业介绍等服务;有条件的机构可与爱心企业等社会力量合作，使部分服务对象实现辅助性就业，获得一定的劳动收入;要合理处理劳动生产成果和可能获得的收入(处理方式和处理结果应记录并存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运动功能训练：为有需求的服务对象提供适当的以运动功能为主的训练，指导其规范使用辅助器具，帮助其巩固医疗康复效果，使其身体运动功能得到恢复或代偿；根据服务对象的身体情况，开展运动功能评估，适时调整训练计划。建立适宜服务对象特点的康复计划，按计划开展康复训练。建立日常康复训练档案，做好服务对象1人1档。由专业机构定期进行康复训练效果评估，评估结果应及时告知服务对象及其监护人。根据服务对象康复训练情况和康复评估效果及时调整康复训练计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）医疗服务：建立医务室。聘</w:t>
      </w:r>
      <w:r>
        <w:rPr>
          <w:rFonts w:hint="eastAsia" w:ascii="宋体" w:hAnsi="宋体" w:eastAsia="宋体" w:cs="宋体"/>
          <w:color w:val="auto"/>
          <w:sz w:val="24"/>
          <w:szCs w:val="24"/>
          <w:highlight w:val="none"/>
        </w:rPr>
        <w:t xml:space="preserve">用执业医师，为服务对象提供医疗、康复训练、卫生保健服务。医务人员每天1次查房问询，医务、护理人员每周至少1次联合查房巡诊。为服务对象每年进行1次常规体检。定期组织服务对象参加健康教育，自我保健、自我护理知识的学习和训练。代发代管药品，应有服务对象监护人的委托书；药品使用应按医嘱执行。接受医疗药品时，应查阅、核对就诊病历卡、处方单等。医疗药品应由专人、专柜保管，避免丢失、损坏和过期失效。应督促或协助服务对象按医嘱服药。对精神类药物的服用，应实施严格监督。代发代管药品的服务工作由医务室指派专门医务人员负责实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能够尽其所能的为本项目的服务人员提供一定的特色服务，提升本项目的服务质量。</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）服务机构管理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1.遵纪守法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（1）遵守国家有关法律法规，执行残疾人托养服务相关规定，并自觉接受监管部门的监督管理。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（2）有健全的财务管理、会计审核制度，凭证、账簿符合财务规定；有项目独立台账，专款专用，有项目经费收支明细清单。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2.制度管理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（1）有健全的机构管理制度，如接待、服务、投诉处理机制和服务回访制度。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（2）有档案管理和固定资产管理制度等。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3.信息管理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（1）按托养协议妥善保管服务对象的个人信息，尊重其个人隐私。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（2）建立服务对象个人档案，包括个人基本情况、托养服务协议书、健康情况、医疗记录、综合评估报告、个别化托养方案、托养服务内容开展情况等；</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有阶段性评估与调整方案，并及时更新、动态管理。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（3）与工作人员签订劳动合同，并按照相关规定缴纳社会保险。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4.服务指南</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（1）能提供清晰、标准的服务指南或服务说明书。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（2）服务指南或服务说明书具体包括：机构介绍，服务设施、内容和项目，收费项目和标准，服务承诺、相关费用减免政策等。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5.服务流程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（1）在显著位置标示残疾人寄宿制托养服务工作流程。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医护人员每天早晚两次查房，24小时医生值班。医生根据残疾人身体状况因人而异的提供测量血压、血糖、体温检测，心电图检测，翻身、扣背、尿管管理等服务。为有需要的服务对象提供护理、服药等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医护人员查房后，由护理员开展洗漱、换洗衣物和被单、排泄，换尿不湿等工作，康复护理师上下午两次对残疾人进行按摩翻身，防止肌肉僵硬。根据天气情况，辅助残疾人坐到轮椅或小车上，到户外晒晒太阳、做做手指操、眼保健操等简单健康操。根据服务对象的特点，制定适宜的基本生活自理活动训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（4）注重与残疾人沟通，为其提供情绪疏导、心理慰藉。定期组织慈善总会、大学生志愿者、义工、艺术团等志愿者、组织慰问演出、捐赠，形成全社会理解、尊重、关心、帮助残疾人的良好风尚。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（5）根据残疾人用餐需求，注重一日三餐饮食均衡，有针对性地增加营养餐。</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（6）护理员24小时值班，配备呼叫系统，残疾人如有需求或遇紧急情况，护理人员可在第一时间到达现场。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（7）为残疾人购置安装室内外健身器材，开辟棋社、阅览室以提供文化体育服务，适当组织残疾人进行文体锻炼。为有需求的服务对象提供适当的以运动功能为主的训练。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6.定期监督管理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（1）通过查看监控，查看残疾人托养状况，包括就餐、护理、康复等服务情况，是否存在不合理、不规范等现象。根据实际存在问题，督促服务团队进行整改。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（2）通过电话回访残疾人家属及现场征询入托残疾人，根据残疾人及其家属的意见，督促托养机构提高服务质量。并做好满意度调查记录。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（3）定期查看服务档案记录是否详实。</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7.规范管理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（1）遵守国家有关法律法规，执行残疾人托养服务相关规定，并自觉接受监管部门的监督管理。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（2）机构应有健全的机构管理制度，如财务管理、资产管理、档案管理、环境卫生管理、安全管理、志愿者管理、突发事件处理预案、出入机构管理、监护人联系制度等。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（3）机构应健全管理人员、专业人员、服务人员岗位职责，按实际需要明确岗位要求和工作流程，实行岗位责任制。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机构应建立管理人员、专业人员、服务人员岗位进修与学习制度，管理人员每年至少应参加1次以上相关培训，专业人员应定期参加相关习武学习或行业培训，服务人员应定期参加各级残联系统组织的业务培训。</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机构应与服务对象签订托养协议，按照协议提供相应服务;采取防范服务风险的制度和措施，为托养对象购买意外伤害保险，或可购买大病险等其他险种;妥善保存和管理服务对象的个人信息，尊重和保护服务对象的个人隐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）机构应与工作人员签订劳动合同或用工协议，并按照相关规定缴纳社会保险;机构工作人员应遵纪守法，遵守职业道德，尊重和善待残疾人，对待服务对象应文明友善、耐心细致。</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（7）食堂有相关部门颁发的卫生许可证，配备厨师。食堂卫生状况符合卫生部门相关要求。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（8）厨师和厨房工作人员持证上岗，严格执行食品卫生法规，严防食物中毒。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8.安全管理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场所与设施安全。机构设置门卫，配备24小时值班人员，实行人员出入登记制度。房间内均安装实时监控设备。在危险区域设置警示标识，并有相关措施防止托养人员接触到电源、热源、水池、刀具、绳索、化学品、药品等危险物品；机构内安装防坠落护理床、防滑地垫、防摔扶手等相关防护设施。机构内设置紧急疏散通道，并保持道路畅通，消防设施符合《消防安全标志设置要求》并取得消防许可资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（2）人身与财产安全。在入住房间和集中区域增设安全防护门窗。机构内保障托养人员不受凌辱、侵害与虐待。机构充分考虑服务对象特点，采取必要措施保障服务人员的人身与财产安全。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（3）卫生安全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对餐具、炊具和操作环境按时清洁和消毒,提供的餐饮食品应每天留样,至少保留24小时，符合相关要求。定时、定期更换床单和衣物，对床铺进行常规消毒处理。有防范老鼠、蟑螂、蚊蝇等害虫的措施。 托养人员患传染病或死亡，对床位和居室进行全面消毒处理。对托养人员的个人卫生加强管理、指导与照料。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（4）医疗安全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本机构在涉及提供医疗服务方面，严格遵守相关医疗规定，包括</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代发代管医疗药品前与监护人沟通，在评估其身体情况后经监护人同意后发放；医疗药品使用应严格按照医嘱执行；药品应由专人、专柜保管，避免丢失、损坏和过期失效；及时、妥善处理医疗垃圾。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（5）信息安全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机构对托养人员的个人身份、家庭及监护人情况及个人隐私等进行保密，绝不泄露、出售或非法向他人提供。采取技术措施和其他必要措施，确保信息安全，防止服务对象个人信息泄露、丢失。在发生或可能发生信息泄露、丢失的情况时，立即采取补救措施。</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三、服务技术要求及其他</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1、服务范围：经灌云县残联审批过的符合条件的残疾人。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要求：机构必须具备在规定时间内完成托养服务的能力。机构应具备服务对象提供基本的生活照料和护理、生活自理能力训练、社会适应能力辅导服务，以及职业康复与劳动技能训练、运动功能训练等能力。因本项目的特殊性，</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单位须在连云港市灌云县设有服务机构，建筑面积、活动场地及配套设施应满足托养人数、托养服务内容要求，消防设施齐全。机构应建立内设医疗部门或签约专业医疗机构(医师)提供必要的医疗保健服务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内设医疗部门或签约专业医疗机构(医师)应具有诊治残疾人常见病、多发病和处理残疾人突发性疾病的能力。</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highlight w:val="none"/>
        </w:rPr>
        <w:t xml:space="preserve">服务场所：有固定服务场所，且为自有用房或协议承租不少于两年以上。机构宜设置在交通便利的城区或近郊区的地段，公共交通便利；建筑面积、活动场地</w:t>
      </w:r>
      <w:r>
        <w:rPr>
          <w:rFonts w:hint="eastAsia" w:ascii="宋体" w:hAnsi="宋体" w:eastAsia="宋体" w:cs="宋体"/>
          <w:color w:val="auto"/>
          <w:sz w:val="24"/>
          <w:szCs w:val="24"/>
          <w:highlight w:val="none"/>
        </w:rPr>
        <w:t xml:space="preserve">及配套设施应满足托养人数、托养服务内容要求，消防设施齐全。机构能提供残疾人寄宿制托养所必须的起居室、食堂、浴室、护理保健室、辅助性劳动工作间、文体活动室等功能用房；机构的过道、洗手间、食堂等公共场所使用防滑、防跌地面材料，装有无障碍设施，建筑设计符合《无障碍设计规范》的规定要求；环境整洁、卫生，保持空气流通，具备充足的采光条件。公共标识设置应符合《标志用公共信息图形符号》的规定。环境安静、远离污染源及易燃易爆物生产和贮存区、高压线路及其设施；宜为低层建筑，如与其他建筑合并建设应设置于低层部分；有独立出入口。</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供应商提供的</w:t>
      </w:r>
      <w:r>
        <w:rPr>
          <w:rFonts w:hint="eastAsia" w:ascii="宋体" w:hAnsi="宋体" w:eastAsia="宋体" w:cs="宋体"/>
          <w:color w:val="auto"/>
          <w:sz w:val="24"/>
          <w:szCs w:val="24"/>
          <w:highlight w:val="none"/>
          <w:lang w:val="en-US" w:eastAsia="zh-CN"/>
        </w:rPr>
        <w:t xml:space="preserve">服务场所须通过消防部门验收或备案，提供有效证明</w:t>
      </w:r>
      <w:r>
        <w:rPr>
          <w:rFonts w:hint="eastAsia" w:ascii="宋体" w:hAnsi="宋体" w:cs="宋体"/>
          <w:color w:val="auto"/>
          <w:sz w:val="24"/>
          <w:szCs w:val="24"/>
          <w:highlight w:val="none"/>
          <w:lang w:val="en-US" w:eastAsia="zh-CN"/>
        </w:rPr>
        <w:t xml:space="preserve">材料</w:t>
      </w:r>
      <w:r>
        <w:rPr>
          <w:rFonts w:hint="eastAsia" w:ascii="宋体" w:hAnsi="宋体" w:eastAsia="宋体" w:cs="宋体"/>
          <w:b/>
          <w:bCs/>
          <w:color w:val="auto"/>
          <w:sz w:val="24"/>
          <w:szCs w:val="24"/>
          <w:highlight w:val="none"/>
          <w:lang w:val="en-US" w:eastAsia="zh-CN"/>
        </w:rPr>
        <w:t xml:space="preserve">（证明文件须与服务场所地址一致）。</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文件中提供场所房屋产权证或场所房屋租赁合同</w:t>
      </w:r>
      <w:r>
        <w:rPr>
          <w:rFonts w:hint="eastAsia" w:ascii="宋体" w:hAnsi="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rPr>
        <w:t xml:space="preserve">相关证明材料</w:t>
      </w:r>
      <w:r>
        <w:rPr>
          <w:rFonts w:hint="eastAsia" w:ascii="宋体" w:hAnsi="宋体" w:cs="宋体"/>
          <w:b/>
          <w:bCs/>
          <w:color w:val="auto"/>
          <w:sz w:val="24"/>
          <w:szCs w:val="24"/>
          <w:highlight w:val="none"/>
          <w:lang w:val="en-US" w:eastAsia="zh-CN"/>
        </w:rPr>
        <w:t xml:space="preserve">及通过</w:t>
      </w:r>
      <w:r>
        <w:rPr>
          <w:rFonts w:hint="eastAsia" w:ascii="宋体" w:hAnsi="宋体" w:eastAsia="宋体" w:cs="宋体"/>
          <w:b/>
          <w:bCs/>
          <w:color w:val="auto"/>
          <w:sz w:val="24"/>
          <w:szCs w:val="24"/>
          <w:highlight w:val="none"/>
          <w:lang w:val="en-US" w:eastAsia="zh-CN"/>
        </w:rPr>
        <w:t xml:space="preserve">消防部门验收或备案</w:t>
      </w:r>
      <w:r>
        <w:rPr>
          <w:rFonts w:hint="eastAsia" w:ascii="宋体" w:hAnsi="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lang w:val="en-US" w:eastAsia="zh-CN"/>
        </w:rPr>
        <w:t xml:space="preserve">有效证明</w:t>
      </w:r>
      <w:r>
        <w:rPr>
          <w:rFonts w:hint="eastAsia" w:ascii="宋体" w:hAnsi="宋体" w:cs="宋体"/>
          <w:b/>
          <w:bCs/>
          <w:color w:val="auto"/>
          <w:sz w:val="24"/>
          <w:szCs w:val="24"/>
          <w:highlight w:val="none"/>
          <w:lang w:val="en-US" w:eastAsia="zh-CN"/>
        </w:rPr>
        <w:t xml:space="preserve">材料的</w:t>
      </w:r>
      <w:r>
        <w:rPr>
          <w:rFonts w:hint="eastAsia" w:ascii="宋体" w:hAnsi="宋体" w:eastAsia="宋体" w:cs="宋体"/>
          <w:b/>
          <w:bCs/>
          <w:color w:val="auto"/>
          <w:sz w:val="24"/>
          <w:szCs w:val="24"/>
          <w:highlight w:val="none"/>
        </w:rPr>
        <w:t xml:space="preserve">扫描件并加盖</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公章，否则投标无效。）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★5、服务时间：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年（以合同签订的时间为准）。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6、服务标准：为残疾人提供生活照料和护理、生活自理能力训练、社会适应能力辅导、运动功能训练等服务。按照入托残疾人自身情况，为残疾人提供适合的托养服务。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7、人员配备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配备专职或兼职的管理人员：</w:t>
      </w:r>
      <w:r>
        <w:rPr>
          <w:rFonts w:hint="eastAsia" w:ascii="宋体" w:hAnsi="宋体" w:cs="宋体"/>
          <w:color w:val="auto"/>
          <w:sz w:val="24"/>
          <w:szCs w:val="24"/>
          <w:highlight w:val="none"/>
          <w:lang w:val="en-US" w:eastAsia="zh-CN"/>
        </w:rPr>
        <w:t xml:space="preserve">项目负责人1人，</w:t>
      </w:r>
      <w:r>
        <w:rPr>
          <w:rFonts w:hint="eastAsia" w:ascii="宋体" w:hAnsi="宋体" w:eastAsia="宋体" w:cs="宋体"/>
          <w:color w:val="auto"/>
          <w:sz w:val="24"/>
          <w:szCs w:val="24"/>
          <w:highlight w:val="none"/>
          <w:lang w:val="en-US" w:eastAsia="zh-CN"/>
        </w:rPr>
        <w:t xml:space="preserve">具有社会工作</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社会福利</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特殊教育</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康复</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医疗等相关学历或相关专业培训资质；熟悉残疾人相关法律法规与政策，掌握残疾人托养的相关知识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有一定的管理工作经验。 </w:t>
      </w:r>
      <w:r/>
    </w:p>
    <w:p>
      <w:pPr>
        <w:ind w:firstLine="480"/>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配备专职或兼职的各类专业人员：</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①</w:t>
      </w:r>
      <w:r>
        <w:rPr>
          <w:rFonts w:hint="eastAsia" w:ascii="宋体" w:hAnsi="宋体" w:eastAsia="宋体" w:cs="宋体"/>
          <w:b w:val="0"/>
          <w:bCs w:val="0"/>
          <w:color w:val="auto"/>
          <w:sz w:val="24"/>
          <w:szCs w:val="24"/>
          <w:highlight w:val="none"/>
          <w:lang w:val="en-US" w:eastAsia="zh-CN"/>
        </w:rPr>
        <w:t xml:space="preserve">医生不少于2名，具有卫生行政主管部门颁发的执业医师执照，2年以上执业医生工作经验。</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②</w:t>
      </w:r>
      <w:r>
        <w:rPr>
          <w:rFonts w:hint="eastAsia" w:ascii="宋体" w:hAnsi="宋体" w:eastAsia="宋体" w:cs="宋体"/>
          <w:b w:val="0"/>
          <w:bCs w:val="0"/>
          <w:color w:val="auto"/>
          <w:sz w:val="24"/>
          <w:szCs w:val="24"/>
          <w:highlight w:val="none"/>
          <w:lang w:val="en-US" w:eastAsia="zh-CN"/>
        </w:rPr>
        <w:t xml:space="preserve">护士不少于2名。具有</w:t>
      </w:r>
      <w:r>
        <w:rPr>
          <w:rFonts w:hint="eastAsia" w:ascii="宋体" w:hAnsi="宋体" w:eastAsia="宋体" w:cs="宋体"/>
          <w:color w:val="auto"/>
          <w:sz w:val="24"/>
          <w:szCs w:val="24"/>
          <w:highlight w:val="none"/>
          <w:lang w:val="en-US" w:eastAsia="zh-CN"/>
        </w:rPr>
        <w:t xml:space="preserve">社会工作</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社会福利</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特殊教育</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康复</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医疗等</w:t>
      </w:r>
      <w:r>
        <w:rPr>
          <w:rFonts w:hint="eastAsia" w:ascii="宋体" w:hAnsi="宋体" w:cs="宋体"/>
          <w:b w:val="0"/>
          <w:bCs w:val="0"/>
          <w:color w:val="auto"/>
          <w:sz w:val="24"/>
          <w:szCs w:val="24"/>
          <w:highlight w:val="none"/>
          <w:lang w:val="en-US" w:eastAsia="zh-CN"/>
        </w:rPr>
        <w:t xml:space="preserve">专科</w:t>
      </w:r>
      <w:r>
        <w:rPr>
          <w:rFonts w:hint="eastAsia" w:ascii="宋体" w:hAnsi="宋体" w:eastAsia="宋体" w:cs="宋体"/>
          <w:b w:val="0"/>
          <w:bCs w:val="0"/>
          <w:color w:val="auto"/>
          <w:sz w:val="24"/>
          <w:szCs w:val="24"/>
          <w:highlight w:val="none"/>
          <w:lang w:val="en-US" w:eastAsia="zh-CN"/>
        </w:rPr>
        <w:t xml:space="preserve">及以上</w:t>
      </w:r>
      <w:r>
        <w:rPr>
          <w:rFonts w:hint="eastAsia" w:ascii="宋体" w:hAnsi="宋体" w:eastAsia="宋体" w:cs="宋体"/>
          <w:color w:val="auto"/>
          <w:sz w:val="24"/>
          <w:szCs w:val="24"/>
          <w:highlight w:val="none"/>
          <w:lang w:val="en-US" w:eastAsia="zh-CN"/>
        </w:rPr>
        <w:t xml:space="preserve">相关学历</w:t>
      </w:r>
      <w:r>
        <w:rPr>
          <w:rFonts w:hint="eastAsia" w:ascii="宋体" w:hAnsi="宋体" w:eastAsia="宋体" w:cs="宋体"/>
          <w:b w:val="0"/>
          <w:bCs w:val="0"/>
          <w:color w:val="auto"/>
          <w:sz w:val="24"/>
          <w:szCs w:val="24"/>
          <w:highlight w:val="none"/>
          <w:lang w:val="en-US" w:eastAsia="zh-CN"/>
        </w:rPr>
        <w:t xml:space="preserve">，护士资格证书。</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③</w:t>
      </w:r>
      <w:r>
        <w:rPr>
          <w:rFonts w:hint="eastAsia" w:ascii="宋体" w:hAnsi="宋体" w:eastAsia="宋体" w:cs="宋体"/>
          <w:b w:val="0"/>
          <w:bCs w:val="0"/>
          <w:color w:val="auto"/>
          <w:sz w:val="24"/>
          <w:szCs w:val="24"/>
          <w:highlight w:val="none"/>
          <w:lang w:val="en-US" w:eastAsia="zh-CN"/>
        </w:rPr>
        <w:t xml:space="preserve">康复师不少于1人，具有</w:t>
      </w:r>
      <w:r>
        <w:rPr>
          <w:rFonts w:hint="eastAsia" w:ascii="宋体" w:hAnsi="宋体" w:cs="宋体"/>
          <w:b w:val="0"/>
          <w:bCs w:val="0"/>
          <w:color w:val="auto"/>
          <w:sz w:val="24"/>
          <w:szCs w:val="24"/>
          <w:highlight w:val="none"/>
          <w:lang w:val="en-US" w:eastAsia="zh-CN"/>
        </w:rPr>
        <w:t xml:space="preserve">专科</w:t>
      </w:r>
      <w:r>
        <w:rPr>
          <w:rFonts w:hint="eastAsia" w:ascii="宋体" w:hAnsi="宋体" w:eastAsia="宋体" w:cs="宋体"/>
          <w:b w:val="0"/>
          <w:bCs w:val="0"/>
          <w:color w:val="auto"/>
          <w:sz w:val="24"/>
          <w:szCs w:val="24"/>
          <w:highlight w:val="none"/>
          <w:lang w:val="en-US" w:eastAsia="zh-CN"/>
        </w:rPr>
        <w:t xml:space="preserve">及以上学历，康复医学相关专业，持有康复医师或康复治疗师或物理治疗师资格证书。</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④</w:t>
      </w:r>
      <w:r>
        <w:rPr>
          <w:rFonts w:hint="eastAsia" w:ascii="宋体" w:hAnsi="宋体" w:eastAsia="宋体" w:cs="宋体"/>
          <w:b w:val="0"/>
          <w:bCs w:val="0"/>
          <w:color w:val="auto"/>
          <w:sz w:val="24"/>
          <w:szCs w:val="24"/>
          <w:highlight w:val="none"/>
          <w:lang w:val="en-US" w:eastAsia="zh-CN"/>
        </w:rPr>
        <w:t xml:space="preserve">心理咨询人员不少于1人，具有相关专业学历或专业</w:t>
      </w:r>
      <w:r>
        <w:rPr>
          <w:rFonts w:hint="eastAsia" w:ascii="宋体" w:hAnsi="宋体" w:cs="宋体"/>
          <w:b w:val="0"/>
          <w:bCs w:val="0"/>
          <w:color w:val="auto"/>
          <w:sz w:val="24"/>
          <w:szCs w:val="24"/>
          <w:highlight w:val="none"/>
          <w:lang w:val="en-US" w:eastAsia="zh-CN"/>
        </w:rPr>
        <w:t xml:space="preserve">资格</w:t>
      </w:r>
      <w:r>
        <w:rPr>
          <w:rFonts w:hint="eastAsia" w:ascii="宋体" w:hAnsi="宋体" w:eastAsia="宋体" w:cs="宋体"/>
          <w:b w:val="0"/>
          <w:bCs w:val="0"/>
          <w:color w:val="auto"/>
          <w:sz w:val="24"/>
          <w:szCs w:val="24"/>
          <w:highlight w:val="none"/>
          <w:lang w:val="en-US" w:eastAsia="zh-CN"/>
        </w:rPr>
        <w:t xml:space="preserve">证书，两年以上工作经验。</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⑤</w:t>
      </w:r>
      <w:r>
        <w:rPr>
          <w:rFonts w:hint="eastAsia" w:ascii="宋体" w:hAnsi="宋体" w:eastAsia="宋体" w:cs="宋体"/>
          <w:b w:val="0"/>
          <w:bCs w:val="0"/>
          <w:color w:val="auto"/>
          <w:sz w:val="24"/>
          <w:szCs w:val="24"/>
          <w:highlight w:val="none"/>
          <w:lang w:val="en-US" w:eastAsia="zh-CN"/>
        </w:rPr>
        <w:t xml:space="preserve">财务管理人员不少于1名，具有</w:t>
      </w:r>
      <w:r>
        <w:rPr>
          <w:rFonts w:hint="eastAsia" w:ascii="宋体" w:hAnsi="宋体" w:cs="宋体"/>
          <w:b w:val="0"/>
          <w:bCs w:val="0"/>
          <w:color w:val="auto"/>
          <w:sz w:val="24"/>
          <w:szCs w:val="24"/>
          <w:highlight w:val="none"/>
          <w:lang w:val="en-US" w:eastAsia="zh-CN"/>
        </w:rPr>
        <w:t xml:space="preserve">专科</w:t>
      </w:r>
      <w:r>
        <w:rPr>
          <w:rFonts w:hint="eastAsia" w:ascii="宋体" w:hAnsi="宋体" w:eastAsia="宋体" w:cs="宋体"/>
          <w:b w:val="0"/>
          <w:bCs w:val="0"/>
          <w:color w:val="auto"/>
          <w:sz w:val="24"/>
          <w:szCs w:val="24"/>
          <w:highlight w:val="none"/>
          <w:lang w:val="en-US" w:eastAsia="zh-CN"/>
        </w:rPr>
        <w:t xml:space="preserve">及以上学历或相关会计类证书或职称。</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⑥</w:t>
      </w:r>
      <w:r>
        <w:rPr>
          <w:rFonts w:hint="eastAsia" w:ascii="宋体" w:hAnsi="宋体" w:eastAsia="宋体" w:cs="宋体"/>
          <w:b w:val="0"/>
          <w:bCs w:val="0"/>
          <w:color w:val="auto"/>
          <w:sz w:val="24"/>
          <w:szCs w:val="24"/>
          <w:highlight w:val="none"/>
          <w:lang w:val="en-US" w:eastAsia="zh-CN"/>
        </w:rPr>
        <w:t xml:space="preserve">厨师不少于1人，具有健康证。</w:t>
      </w:r>
      <w:r>
        <w:rPr>
          <w:rFonts w:hint="eastAsia" w:ascii="宋体" w:hAnsi="宋体" w:eastAsia="宋体" w:cs="宋体"/>
          <w:color w:val="auto"/>
          <w:sz w:val="24"/>
          <w:szCs w:val="24"/>
          <w:highlight w:val="none"/>
          <w:lang w:val="en-US" w:eastAsia="zh-CN"/>
        </w:rPr>
        <w:br/>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（3）从业要求与仪表行为</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①各类专业服务人员，应取得相关专业从业资格。</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②护理人员应接受相关专业技术人员的业务岗位培训与考核，胜任本职工作。</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③护理人员应具备包括生活护理、康复护理、特殊护理（褥疮预防、意外损伤监护）等残疾人护理所需的专门知识和技能。</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④护理人员应身体健康，持有有效的健康证明等资料，持证上岗。服务时，应文明友善、耐心细致。</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⑤尊重服务对象及其家属、监护人，解答询问热情、耐心。</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⑥服务人员应穿着岗位制服，穿戴整洁，佩戴服务标识。</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⑦保持个人卫生，勤洗手，不留长指甲。</w:t>
      </w:r>
      <w:r/>
    </w:p>
    <w:p>
      <w:pPr>
        <w:numPr>
          <w:ilvl w:val="0"/>
          <w:numId w:val="0"/>
        </w:numPr>
        <w:ind w:left="0" w:firstLine="72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⑧定期（每年）参加符合相关专业规范要求的业务学习或专业培训。</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★8、设备要求：服务场所装有空调或其他适用的取暖、降温设备，提供全天候的热水供应。</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服务场所配置照明设备，公共区域设置应急照明灯。</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服务场所配备养护起居</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护理保健</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基本设施，设备完好。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服务场所配备完善的医疗设备。</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文件中提供加盖</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公章的承诺函扫描件，格式见附件）</w:t>
      </w:r>
      <w:r/>
    </w:p>
    <w:p>
      <w:pPr>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四、付款方式与</w:t>
      </w:r>
      <w:r>
        <w:rPr>
          <w:rFonts w:hint="eastAsia" w:ascii="宋体" w:hAnsi="宋体" w:cs="宋体"/>
          <w:b/>
          <w:bCs/>
          <w:color w:val="auto"/>
          <w:sz w:val="24"/>
          <w:szCs w:val="24"/>
          <w:highlight w:val="none"/>
          <w:lang w:val="en-US" w:eastAsia="zh-CN"/>
        </w:rPr>
        <w:t xml:space="preserve">考核方式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★1、付款方式：</w:t>
      </w:r>
      <w:r>
        <w:rPr>
          <w:rFonts w:hint="eastAsia" w:hAnsi="宋体" w:cs="宋体"/>
          <w:color w:val="auto"/>
          <w:spacing w:val="-1"/>
          <w:sz w:val="24"/>
          <w:szCs w:val="24"/>
          <w:highlight w:val="none"/>
          <w:lang w:val="en-US" w:eastAsia="zh-CN"/>
        </w:rPr>
        <w:t xml:space="preserve">合同签订后</w:t>
      </w:r>
      <w:r>
        <w:rPr>
          <w:rFonts w:ascii="宋体" w:hAnsi="宋体" w:eastAsia="宋体" w:cs="宋体"/>
          <w:color w:val="auto"/>
          <w:spacing w:val="-1"/>
          <w:sz w:val="24"/>
          <w:szCs w:val="24"/>
          <w:highlight w:val="none"/>
        </w:rPr>
        <w:t xml:space="preserve">，</w:t>
      </w:r>
      <w:r>
        <w:rPr>
          <w:rFonts w:ascii="宋体" w:hAnsi="宋体" w:eastAsia="宋体" w:cs="宋体"/>
          <w:color w:val="auto"/>
          <w:spacing w:val="-2"/>
          <w:sz w:val="24"/>
          <w:szCs w:val="24"/>
          <w:highlight w:val="none"/>
        </w:rPr>
        <w:t xml:space="preserve">按照</w:t>
      </w:r>
      <w:r>
        <w:rPr>
          <w:rFonts w:hint="eastAsia" w:hAnsi="宋体" w:cs="宋体"/>
          <w:color w:val="auto"/>
          <w:spacing w:val="-1"/>
          <w:sz w:val="24"/>
          <w:szCs w:val="24"/>
          <w:highlight w:val="none"/>
          <w:lang w:val="en-US" w:eastAsia="zh-CN"/>
        </w:rPr>
        <w:t xml:space="preserve">每月</w:t>
      </w:r>
      <w:r>
        <w:rPr>
          <w:rFonts w:hint="eastAsia" w:ascii="宋体" w:hAnsi="宋体" w:eastAsia="宋体" w:cs="宋体"/>
          <w:color w:val="auto"/>
          <w:spacing w:val="-2"/>
          <w:sz w:val="24"/>
          <w:szCs w:val="24"/>
          <w:highlight w:val="none"/>
        </w:rPr>
        <w:t xml:space="preserve">审计报告</w:t>
      </w:r>
      <w:r>
        <w:rPr>
          <w:rFonts w:ascii="宋体" w:hAnsi="宋体" w:eastAsia="宋体" w:cs="宋体"/>
          <w:color w:val="auto"/>
          <w:sz w:val="24"/>
          <w:szCs w:val="24"/>
          <w:highlight w:val="none"/>
        </w:rPr>
        <w:t xml:space="preserve">支付</w:t>
      </w:r>
      <w:r>
        <w:rPr>
          <w:rFonts w:hint="eastAsia" w:ascii="宋体" w:hAnsi="宋体" w:eastAsia="宋体" w:cs="宋体"/>
          <w:color w:val="auto"/>
          <w:spacing w:val="-1"/>
          <w:sz w:val="24"/>
          <w:szCs w:val="24"/>
          <w:highlight w:val="none"/>
        </w:rPr>
        <w:t xml:space="preserve">审计结果</w:t>
      </w:r>
      <w:r>
        <w:rPr>
          <w:rFonts w:hint="eastAsia" w:hAnsi="宋体" w:cs="宋体"/>
          <w:color w:val="auto"/>
          <w:spacing w:val="-1"/>
          <w:sz w:val="24"/>
          <w:szCs w:val="24"/>
          <w:highlight w:val="none"/>
          <w:lang w:val="en-US" w:eastAsia="zh-CN"/>
        </w:rPr>
        <w:t xml:space="preserve">的</w:t>
      </w:r>
      <w:r>
        <w:rPr>
          <w:rFonts w:hint="eastAsia" w:hAnsi="宋体" w:cs="宋体"/>
          <w:color w:val="auto"/>
          <w:sz w:val="24"/>
          <w:szCs w:val="24"/>
          <w:highlight w:val="none"/>
          <w:lang w:val="en-US" w:eastAsia="zh-CN"/>
        </w:rPr>
        <w:t xml:space="preserve">80%</w:t>
      </w:r>
      <w:r>
        <w:rPr>
          <w:rFonts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每季度按考核结果补齐或扣除</w:t>
      </w:r>
      <w:r>
        <w:rPr>
          <w:rFonts w:hint="eastAsia" w:hAnsi="宋体" w:cs="宋体"/>
          <w:color w:val="auto"/>
          <w:spacing w:val="-1"/>
          <w:sz w:val="24"/>
          <w:szCs w:val="24"/>
          <w:highlight w:val="none"/>
          <w:lang w:val="en-US" w:eastAsia="zh-CN"/>
        </w:rPr>
        <w:t xml:space="preserve">相应资金</w:t>
      </w:r>
      <w:r>
        <w:rPr>
          <w:rFonts w:hint="eastAsia" w:ascii="宋体" w:hAnsi="宋体" w:eastAsia="宋体" w:cs="宋体"/>
          <w:color w:val="auto"/>
          <w:spacing w:val="-1"/>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考核方式：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①日常考核。县残联根据市残联出台的考核评分细则进行不定期抽查，每次抽查对象不少于服务对象的25%。日常考核评估分数为100分， 占总分的50%。</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②年度考核。每年度结束前，县残联根据市残联出台的考核评分细则进行综合检查考核。年度考核评估分数为100分，占总分的50%。</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③市残联抽查。市残联根据需要适时对中标机构相关情况进行随机抽查，抽查结果作为年终绩效考评的重要依据。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考核应用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县残联根据日常考核、年度考核、市残联抽查，进行综合考核。考核结果作为拨付经费的依据。综合考核成绩在95 分以上（含95 分）全额支付全部费用；考核 95 分（不含 60 分）以下，每少 5 分（含 5 分之间分），扣除 2%的总费用； 60 分以下的，拨付经费的 50%，采购单位有权单方终止合同，并取消下年度投标资格。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资金拨付提供材料：资金申请审批表、机构代码证（副本复印件）、服务场所房产证或承租协议书、机构工作人员劳动合同和养老保险缴费证明、机构与残联签订的服务协议、托养对象花名册和与托养对象签订的托养服务协议书（复印件）、 日常管理考核评分表、年度考核评分表等。</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五、中标单位需在中标后，签订合同前，提交</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文件中所提供人员及资质证书原件给</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审核。确认无误后，方可签订合同。</w:t>
      </w:r>
      <w:r/>
    </w:p>
    <w:p>
      <w:pPr>
        <w:rPr>
          <w:rFonts w:eastAsia="Arial"/>
          <w:color w:val="auto"/>
          <w:sz w:val="24"/>
          <w:highlight w:val="none"/>
        </w:rPr>
      </w:pPr>
      <w:r>
        <w:rPr>
          <w:rFonts w:eastAsia="Arial"/>
          <w:color w:val="auto"/>
          <w:sz w:val="24"/>
          <w:highlight w:val="none"/>
        </w:rPr>
        <w:br w:type="page" w:clear="all"/>
      </w:r>
      <w:bookmarkEnd w:id="41"/>
      <w:r/>
      <w:bookmarkEnd w:id="45"/>
      <w:r/>
      <w:bookmarkEnd w:id="46"/>
      <w:r/>
      <w:r/>
    </w:p>
    <w:p>
      <w:pPr>
        <w:pStyle w:val="867"/>
        <w:keepNext w:val="0"/>
        <w:spacing w:line="360" w:lineRule="auto"/>
        <w:rPr>
          <w:rFonts w:ascii="Times New Roman" w:hAnsi="Times New Roman"/>
          <w:color w:val="auto"/>
          <w:sz w:val="36"/>
          <w:szCs w:val="36"/>
          <w:highlight w:val="none"/>
        </w:rPr>
      </w:pPr>
      <w:r/>
      <w:bookmarkStart w:id="47" w:name="_Toc13795"/>
      <w:r/>
      <w:bookmarkStart w:id="48" w:name="_Toc415"/>
      <w:r>
        <w:rPr>
          <w:rFonts w:hint="eastAsia" w:ascii="Times New Roman" w:hAnsi="Times New Roman"/>
          <w:color w:val="auto"/>
          <w:sz w:val="36"/>
          <w:szCs w:val="36"/>
          <w:highlight w:val="none"/>
        </w:rPr>
        <w:t xml:space="preserve">第五章 </w:t>
      </w:r>
      <w:r>
        <w:rPr>
          <w:rFonts w:ascii="Times New Roman" w:hAnsi="Times New Roman"/>
          <w:color w:val="auto"/>
          <w:sz w:val="36"/>
          <w:szCs w:val="36"/>
          <w:highlight w:val="none"/>
        </w:rPr>
        <w:t xml:space="preserve">评审方法与评审标准</w:t>
      </w:r>
      <w:bookmarkEnd w:id="47"/>
      <w:r/>
      <w:bookmarkEnd w:id="48"/>
      <w:r/>
      <w:r/>
    </w:p>
    <w:p>
      <w:pPr>
        <w:jc w:val="left"/>
        <w:spacing w:line="360" w:lineRule="auto"/>
        <w:widowControl/>
        <w:rPr>
          <w:rStyle w:val="1186"/>
          <w:rFonts w:hint="eastAsia" w:ascii="宋体" w:hAnsi="宋体" w:cs="宋体"/>
          <w:b/>
          <w:bCs/>
          <w:color w:val="auto"/>
          <w:sz w:val="24"/>
          <w:highlight w:val="none"/>
        </w:rPr>
        <w:outlineLvl w:val="1"/>
      </w:pPr>
      <w:r>
        <w:rPr>
          <w:rStyle w:val="1186"/>
          <w:rFonts w:hint="eastAsia" w:ascii="宋体" w:hAnsi="宋体" w:cs="宋体"/>
          <w:b/>
          <w:bCs/>
          <w:color w:val="auto"/>
          <w:sz w:val="24"/>
          <w:highlight w:val="none"/>
        </w:rPr>
        <w:t xml:space="preserve">一、</w:t>
      </w:r>
      <w:r>
        <w:rPr>
          <w:rStyle w:val="1186"/>
          <w:rFonts w:hint="eastAsia" w:ascii="宋体" w:hAnsi="宋体" w:cs="宋体"/>
          <w:b/>
          <w:color w:val="auto"/>
          <w:sz w:val="24"/>
          <w:highlight w:val="none"/>
        </w:rPr>
        <w:t xml:space="preserve">磋商小组</w:t>
      </w:r>
      <w:r/>
    </w:p>
    <w:p>
      <w:pPr>
        <w:ind w:firstLine="480"/>
        <w:jc w:val="left"/>
        <w:spacing w:line="360" w:lineRule="auto"/>
        <w:rPr>
          <w:rStyle w:val="1186"/>
          <w:rFonts w:hint="eastAsia" w:ascii="宋体" w:hAnsi="宋体" w:cs="宋体"/>
          <w:bCs/>
          <w:color w:val="auto"/>
          <w:sz w:val="24"/>
          <w:highlight w:val="none"/>
        </w:rPr>
      </w:pPr>
      <w:r>
        <w:rPr>
          <w:rStyle w:val="1186"/>
          <w:rFonts w:hint="eastAsia" w:ascii="宋体" w:hAnsi="宋体" w:cs="宋体"/>
          <w:bCs/>
          <w:color w:val="auto"/>
          <w:sz w:val="24"/>
          <w:highlight w:val="none"/>
        </w:rPr>
        <w:t xml:space="preserve">本采购项目磋商小组由采购人代表和评审专家组成。</w:t>
      </w:r>
      <w:r/>
    </w:p>
    <w:p>
      <w:pPr>
        <w:jc w:val="left"/>
        <w:spacing w:line="360" w:lineRule="auto"/>
        <w:rPr>
          <w:b/>
          <w:bCs/>
          <w:color w:val="auto"/>
          <w:sz w:val="24"/>
          <w:highlight w:val="none"/>
        </w:rPr>
      </w:pPr>
      <w:r>
        <w:rPr>
          <w:rFonts w:hint="eastAsia"/>
          <w:b/>
          <w:bCs/>
          <w:color w:val="auto"/>
          <w:sz w:val="24"/>
          <w:highlight w:val="none"/>
        </w:rPr>
        <w:t xml:space="preserve">二</w:t>
      </w:r>
      <w:r>
        <w:rPr>
          <w:b/>
          <w:bCs/>
          <w:color w:val="auto"/>
          <w:sz w:val="24"/>
          <w:highlight w:val="none"/>
        </w:rPr>
        <w:t xml:space="preserve">、评审方法</w:t>
      </w:r>
      <w:r/>
    </w:p>
    <w:p>
      <w:pPr>
        <w:ind w:firstLine="480"/>
        <w:jc w:val="left"/>
        <w:spacing w:line="360" w:lineRule="auto"/>
        <w:rPr>
          <w:color w:val="auto"/>
          <w:sz w:val="24"/>
          <w:highlight w:val="none"/>
        </w:rPr>
      </w:pPr>
      <w:r>
        <w:rPr>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jc w:val="left"/>
        <w:spacing w:line="360" w:lineRule="auto"/>
        <w:rPr>
          <w:color w:val="auto"/>
          <w:sz w:val="24"/>
          <w:highlight w:val="none"/>
        </w:rPr>
      </w:pPr>
      <w:r>
        <w:rPr>
          <w:color w:val="auto"/>
          <w:sz w:val="24"/>
          <w:highlight w:val="none"/>
        </w:rPr>
        <w:t xml:space="preserve">综合评分法，是指响应文件满足磋商文件全部实质性要求且按评审因素的量化指标评审得分最高的供应商为成交候选供应商的评审方法。</w:t>
      </w:r>
      <w:r/>
    </w:p>
    <w:p>
      <w:pPr>
        <w:jc w:val="left"/>
        <w:spacing w:line="360" w:lineRule="auto"/>
        <w:widowControl/>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三、</w:t>
      </w:r>
      <w:r>
        <w:rPr>
          <w:rFonts w:hint="eastAsia" w:ascii="宋体" w:hAnsi="宋体" w:cs="宋体"/>
          <w:b/>
          <w:color w:val="auto"/>
          <w:sz w:val="24"/>
          <w:highlight w:val="none"/>
        </w:rPr>
        <w:t xml:space="preserve">评审</w:t>
      </w:r>
      <w:r>
        <w:rPr>
          <w:rFonts w:hint="eastAsia" w:ascii="宋体" w:hAnsi="宋体" w:cs="宋体"/>
          <w:b/>
          <w:bCs/>
          <w:color w:val="auto"/>
          <w:sz w:val="24"/>
          <w:highlight w:val="none"/>
        </w:rPr>
        <w:t xml:space="preserve">原则</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color w:val="auto"/>
          <w:sz w:val="24"/>
          <w:highlight w:val="none"/>
        </w:rPr>
        <w:t xml:space="preserve">磋商小组</w:t>
      </w:r>
      <w:r>
        <w:rPr>
          <w:rFonts w:hint="eastAsia" w:ascii="宋体" w:hAnsi="宋体" w:cs="宋体"/>
          <w:bCs/>
          <w:color w:val="auto"/>
          <w:sz w:val="24"/>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jc w:val="left"/>
        <w:spacing w:line="360" w:lineRule="auto"/>
        <w:rPr>
          <w:b/>
          <w:bCs/>
          <w:color w:val="auto"/>
          <w:sz w:val="24"/>
          <w:highlight w:val="none"/>
        </w:rPr>
      </w:pPr>
      <w:r>
        <w:rPr>
          <w:rFonts w:hint="eastAsia"/>
          <w:b/>
          <w:bCs/>
          <w:color w:val="auto"/>
          <w:sz w:val="24"/>
          <w:highlight w:val="none"/>
        </w:rPr>
        <w:t xml:space="preserve">四</w:t>
      </w:r>
      <w:r>
        <w:rPr>
          <w:b/>
          <w:bCs/>
          <w:color w:val="auto"/>
          <w:sz w:val="24"/>
          <w:highlight w:val="none"/>
        </w:rPr>
        <w:t xml:space="preserve">、评审标准</w:t>
      </w:r>
      <w:r/>
    </w:p>
    <w:p>
      <w:pPr>
        <w:ind w:firstLine="480"/>
        <w:jc w:val="left"/>
        <w:spacing w:line="360" w:lineRule="auto"/>
        <w:rPr>
          <w:color w:val="auto"/>
          <w:sz w:val="24"/>
          <w:highlight w:val="none"/>
        </w:rPr>
      </w:pPr>
      <w:r>
        <w:rPr>
          <w:color w:val="auto"/>
          <w:sz w:val="24"/>
          <w:highlight w:val="none"/>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360" w:lineRule="auto"/>
        <w:rPr>
          <w:color w:val="auto"/>
          <w:sz w:val="24"/>
          <w:highlight w:val="none"/>
        </w:rPr>
      </w:pPr>
      <w:r>
        <w:rPr>
          <w:color w:val="auto"/>
          <w:sz w:val="24"/>
          <w:highlight w:val="none"/>
        </w:rPr>
        <w:t xml:space="preserve">（2）本项目评分总分为100分，按四舍五入取至小数点后两位。</w:t>
      </w:r>
      <w:r/>
    </w:p>
    <w:p>
      <w:pPr>
        <w:ind w:firstLine="480"/>
        <w:jc w:val="left"/>
        <w:spacing w:line="360" w:lineRule="auto"/>
        <w:rPr>
          <w:rFonts w:eastAsia="Arial"/>
          <w:color w:val="auto"/>
          <w:sz w:val="24"/>
          <w:highlight w:val="none"/>
        </w:rPr>
      </w:pPr>
      <w:r>
        <w:rPr>
          <w:color w:val="auto"/>
          <w:sz w:val="24"/>
          <w:highlight w:val="none"/>
        </w:rPr>
        <w:t xml:space="preserve">（3）总得分=价格分+</w:t>
      </w:r>
      <w:r>
        <w:rPr>
          <w:rFonts w:hint="eastAsia"/>
          <w:color w:val="auto"/>
          <w:sz w:val="24"/>
          <w:highlight w:val="none"/>
        </w:rPr>
        <w:t xml:space="preserve">商务</w:t>
      </w:r>
      <w:r>
        <w:rPr>
          <w:color w:val="auto"/>
          <w:sz w:val="24"/>
          <w:highlight w:val="none"/>
        </w:rPr>
        <w:t xml:space="preserve">分+</w:t>
      </w:r>
      <w:r>
        <w:rPr>
          <w:rFonts w:hint="eastAsia"/>
          <w:color w:val="auto"/>
          <w:sz w:val="24"/>
          <w:highlight w:val="none"/>
        </w:rPr>
        <w:t xml:space="preserve">技术</w:t>
      </w:r>
      <w:r>
        <w:rPr>
          <w:color w:val="auto"/>
          <w:sz w:val="24"/>
          <w:highlight w:val="none"/>
        </w:rPr>
        <w:t xml:space="preserve">分。</w:t>
      </w:r>
      <w:r/>
    </w:p>
    <w:p>
      <w:pPr>
        <w:jc w:val="center"/>
        <w:spacing w:line="500" w:lineRule="exact"/>
        <w:rPr>
          <w:rFonts w:eastAsia="黑体"/>
          <w:color w:val="auto"/>
          <w:sz w:val="32"/>
          <w:highlight w:val="none"/>
        </w:rPr>
      </w:pPr>
      <w:r>
        <w:rPr>
          <w:rFonts w:eastAsia="黑体"/>
          <w:color w:val="auto"/>
          <w:sz w:val="32"/>
          <w:highlight w:val="none"/>
        </w:rPr>
        <w:t xml:space="preserve">综合评分法</w:t>
      </w:r>
      <w:r/>
    </w:p>
    <w:p>
      <w:pPr>
        <w:ind w:firstLine="480"/>
        <w:jc w:val="left"/>
        <w:spacing w:line="360" w:lineRule="auto"/>
        <w:rPr>
          <w:b/>
          <w:bCs/>
          <w:color w:val="auto"/>
          <w:sz w:val="24"/>
          <w:highlight w:val="none"/>
        </w:rPr>
      </w:pPr>
      <w:r>
        <w:rPr>
          <w:b/>
          <w:bCs/>
          <w:color w:val="auto"/>
          <w:sz w:val="24"/>
          <w:highlight w:val="none"/>
        </w:rPr>
        <w:t xml:space="preserve">1、价格分：</w:t>
      </w:r>
      <w:r>
        <w:rPr>
          <w:rFonts w:hint="eastAsia"/>
          <w:b/>
          <w:bCs/>
          <w:color w:val="auto"/>
          <w:sz w:val="24"/>
          <w:highlight w:val="none"/>
          <w:lang w:val="en-US" w:eastAsia="zh-CN"/>
        </w:rPr>
        <w:t xml:space="preserve">10</w:t>
      </w:r>
      <w:r>
        <w:rPr>
          <w:b/>
          <w:bCs/>
          <w:color w:val="auto"/>
          <w:sz w:val="24"/>
          <w:highlight w:val="none"/>
        </w:rPr>
        <w:t xml:space="preserve">分 </w:t>
      </w:r>
      <w:r/>
    </w:p>
    <w:p>
      <w:pPr>
        <w:ind w:firstLine="480"/>
        <w:jc w:val="left"/>
        <w:spacing w:line="360" w:lineRule="auto"/>
        <w:rPr>
          <w:color w:val="auto"/>
          <w:sz w:val="24"/>
          <w:highlight w:val="none"/>
        </w:rPr>
      </w:pPr>
      <w:r>
        <w:rPr>
          <w:color w:val="auto"/>
          <w:sz w:val="24"/>
          <w:highlight w:val="none"/>
        </w:rPr>
        <w:t xml:space="preserve">价格分统一采用低价优先法计算，即满足磋商文件要求且最后报价最低的供应商的价格为磋商基准价，其价格分为满分。其他供应商的价格分统一按照下列公式计算： </w:t>
      </w:r>
      <w:r/>
    </w:p>
    <w:p>
      <w:pPr>
        <w:ind w:firstLine="480"/>
        <w:jc w:val="left"/>
        <w:spacing w:line="360" w:lineRule="auto"/>
        <w:rPr>
          <w:color w:val="auto"/>
          <w:sz w:val="24"/>
          <w:highlight w:val="none"/>
        </w:rPr>
      </w:pPr>
      <w:r>
        <w:rPr>
          <w:color w:val="auto"/>
          <w:sz w:val="24"/>
          <w:highlight w:val="none"/>
        </w:rPr>
        <w:t xml:space="preserve">磋商报价得分=（磋商基准价/最后磋商报价）×</w:t>
      </w:r>
      <w:r>
        <w:rPr>
          <w:rFonts w:hint="eastAsia"/>
          <w:color w:val="auto"/>
          <w:sz w:val="24"/>
          <w:highlight w:val="none"/>
          <w:lang w:val="en-US" w:eastAsia="zh-CN"/>
        </w:rPr>
        <w:t xml:space="preserve">10</w:t>
      </w:r>
      <w:r>
        <w:rPr>
          <w:color w:val="auto"/>
          <w:sz w:val="24"/>
          <w:highlight w:val="none"/>
        </w:rPr>
        <w:t xml:space="preserve">分。</w:t>
      </w:r>
      <w:r/>
    </w:p>
    <w:p>
      <w:pPr>
        <w:ind w:firstLine="480"/>
        <w:jc w:val="left"/>
        <w:spacing w:line="360" w:lineRule="auto"/>
        <w:rPr>
          <w:color w:val="auto"/>
          <w:sz w:val="24"/>
          <w:highlight w:val="none"/>
        </w:rPr>
      </w:pPr>
      <w:r>
        <w:rPr>
          <w:color w:val="auto"/>
          <w:sz w:val="24"/>
          <w:highlight w:val="none"/>
        </w:rPr>
        <w:t xml:space="preserve">项目评审过程中，不得去掉最后报价中的最高报价和最低报价。</w:t>
      </w:r>
      <w:r/>
    </w:p>
    <w:p>
      <w:pPr>
        <w:ind w:firstLine="480"/>
        <w:jc w:val="left"/>
        <w:spacing w:line="360" w:lineRule="auto"/>
        <w:rPr>
          <w:color w:val="auto"/>
          <w:sz w:val="24"/>
          <w:highlight w:val="none"/>
        </w:rPr>
      </w:pPr>
      <w:r>
        <w:rPr>
          <w:color w:val="auto"/>
          <w:sz w:val="24"/>
          <w:highlight w:val="none"/>
        </w:rPr>
        <w:t xml:space="preserve">落实政府采购政策进行价格调整的，以调整后的价格计算磋商基准价和最后磋商报价，小数点后保留两位。</w:t>
      </w:r>
      <w:r/>
    </w:p>
    <w:p>
      <w:pPr>
        <w:numPr>
          <w:ilvl w:val="0"/>
          <w:numId w:val="5"/>
        </w:numPr>
        <w:ind w:firstLine="480"/>
        <w:jc w:val="left"/>
        <w:spacing w:line="360" w:lineRule="auto"/>
        <w:rPr>
          <w:b/>
          <w:bCs/>
          <w:color w:val="auto"/>
          <w:sz w:val="24"/>
          <w:highlight w:val="none"/>
        </w:rPr>
      </w:pPr>
      <w:r>
        <w:rPr>
          <w:b/>
          <w:bCs/>
          <w:color w:val="auto"/>
          <w:sz w:val="24"/>
          <w:highlight w:val="none"/>
        </w:rPr>
        <w:t xml:space="preserve">商务</w:t>
      </w:r>
      <w:r>
        <w:rPr>
          <w:rFonts w:hint="eastAsia"/>
          <w:b/>
          <w:bCs/>
          <w:color w:val="auto"/>
          <w:sz w:val="24"/>
          <w:highlight w:val="none"/>
        </w:rPr>
        <w:t xml:space="preserve">技术</w:t>
      </w:r>
      <w:r>
        <w:rPr>
          <w:b/>
          <w:bCs/>
          <w:color w:val="auto"/>
          <w:sz w:val="24"/>
          <w:highlight w:val="none"/>
        </w:rPr>
        <w:t xml:space="preserve">分：</w:t>
      </w:r>
      <w:r>
        <w:rPr>
          <w:rFonts w:hint="eastAsia"/>
          <w:b/>
          <w:bCs/>
          <w:color w:val="auto"/>
          <w:sz w:val="24"/>
          <w:highlight w:val="none"/>
          <w:lang w:val="en-US" w:eastAsia="zh-CN"/>
        </w:rPr>
        <w:t xml:space="preserve">90</w:t>
      </w:r>
      <w:r>
        <w:rPr>
          <w:b/>
          <w:bCs/>
          <w:color w:val="auto"/>
          <w:sz w:val="24"/>
          <w:highlight w:val="none"/>
        </w:rPr>
        <w:t xml:space="preserve">分</w:t>
      </w:r>
      <w:r/>
    </w:p>
    <w:tbl>
      <w:tblPr>
        <w:tblStyle w:val="877"/>
        <w:tblW w:w="923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2"/>
        <w:gridCol w:w="1278"/>
        <w:gridCol w:w="6779"/>
      </w:tblGrid>
      <w:tr>
        <w:trPr>
          <w:trHeight w:val="565"/>
        </w:trPr>
        <w:tc>
          <w:tcPr>
            <w:tcBorders>
              <w:top w:val="single" w:color="auto" w:sz="4" w:space="0"/>
              <w:left w:val="single" w:color="auto" w:sz="4" w:space="0"/>
              <w:right w:val="single" w:color="auto" w:sz="4" w:space="0"/>
            </w:tcBorders>
            <w:tcW w:w="1182" w:type="dxa"/>
            <w:vAlign w:val="center"/>
            <w:vMerge w:val="restart"/>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center"/>
              <w:keepLines w:val="0"/>
              <w:keepNext w:val="0"/>
              <w:pageBreakBefore w:val="0"/>
              <w:spacing w:line="400" w:lineRule="exact"/>
              <w:widowControl w:val="off"/>
              <w:rPr>
                <w:rFonts w:ascii="宋体" w:hAnsi="宋体"/>
                <w:color w:val="auto"/>
                <w:spacing w:val="6"/>
                <w:sz w:val="24"/>
                <w:highlight w:val="none"/>
              </w:rPr>
            </w:pPr>
            <w:r>
              <w:rPr>
                <w:rFonts w:ascii="宋体" w:hAnsi="宋体"/>
                <w:color w:val="auto"/>
                <w:spacing w:val="7"/>
                <w:sz w:val="24"/>
                <w:highlight w:val="none"/>
              </w:rPr>
              <w:t xml:space="preserve">商</w:t>
            </w:r>
            <w:r>
              <w:rPr>
                <w:rFonts w:ascii="宋体" w:hAnsi="宋体"/>
                <w:color w:val="auto"/>
                <w:spacing w:val="6"/>
                <w:sz w:val="24"/>
                <w:highlight w:val="none"/>
              </w:rPr>
              <w:t xml:space="preserve">务</w:t>
            </w:r>
            <w:r/>
          </w:p>
          <w:p>
            <w:pPr>
              <w:ind w:left="178"/>
              <w:jc w:val="center"/>
              <w:keepLines w:val="0"/>
              <w:keepNext w:val="0"/>
              <w:pageBreakBefore w:val="0"/>
              <w:spacing w:line="400" w:lineRule="exact"/>
              <w:widowControl w:val="off"/>
              <w:rPr>
                <w:rFonts w:ascii="宋体" w:hAnsi="宋体"/>
                <w:color w:val="auto"/>
                <w:sz w:val="24"/>
                <w:highlight w:val="none"/>
              </w:rPr>
            </w:pPr>
            <w:r>
              <w:rPr>
                <w:rFonts w:ascii="宋体" w:hAnsi="宋体"/>
                <w:color w:val="auto"/>
                <w:spacing w:val="6"/>
                <w:sz w:val="24"/>
                <w:highlight w:val="none"/>
              </w:rPr>
              <w:t xml:space="preserve">部分</w:t>
            </w:r>
            <w:r/>
          </w:p>
          <w:p>
            <w:pPr>
              <w:ind w:left="158"/>
              <w:jc w:val="center"/>
              <w:keepLines w:val="0"/>
              <w:keepNext w:val="0"/>
              <w:pageBreakBefore w:val="0"/>
              <w:spacing w:line="400" w:lineRule="exact"/>
              <w:widowControl w:val="off"/>
              <w:rPr>
                <w:rFonts w:ascii="宋体" w:hAnsi="宋体"/>
                <w:color w:val="auto"/>
                <w:sz w:val="24"/>
                <w:highlight w:val="none"/>
              </w:rPr>
            </w:pPr>
            <w:r>
              <w:rPr>
                <w:rFonts w:ascii="宋体" w:hAnsi="宋体"/>
                <w:color w:val="auto"/>
                <w:spacing w:val="13"/>
                <w:sz w:val="24"/>
                <w:highlight w:val="none"/>
              </w:rPr>
              <w:t xml:space="preserve">(</w:t>
            </w:r>
            <w:r>
              <w:rPr>
                <w:rFonts w:hint="eastAsia" w:ascii="宋体" w:hAnsi="宋体"/>
                <w:color w:val="auto"/>
                <w:spacing w:val="10"/>
                <w:sz w:val="24"/>
                <w:highlight w:val="none"/>
                <w:lang w:val="en-US" w:eastAsia="zh-CN"/>
              </w:rPr>
              <w:t xml:space="preserve">60</w:t>
            </w:r>
            <w:r>
              <w:rPr>
                <w:rFonts w:ascii="宋体" w:hAnsi="宋体"/>
                <w:color w:val="auto"/>
                <w:spacing w:val="10"/>
                <w:sz w:val="24"/>
                <w:highlight w:val="none"/>
              </w:rPr>
              <w:t xml:space="preserve">分)</w:t>
            </w:r>
            <w:r/>
          </w:p>
        </w:tc>
        <w:tc>
          <w:tcPr>
            <w:tcBorders>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服务场所硬件设施</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val="en-US" w:eastAsia="zh-CN"/>
              </w:rPr>
              <w:t xml:space="preserve">10</w:t>
            </w:r>
            <w:r>
              <w:rPr>
                <w:rFonts w:hint="eastAsia" w:ascii="宋体" w:hAnsi="宋体" w:eastAsia="宋体" w:cs="宋体"/>
                <w:color w:val="auto"/>
                <w:sz w:val="24"/>
                <w:szCs w:val="22"/>
                <w:highlight w:val="none"/>
              </w:rPr>
              <w:t xml:space="preserve">分）</w:t>
            </w:r>
            <w:r/>
          </w:p>
        </w:tc>
        <w:tc>
          <w:tcPr>
            <w:tcW w:w="6779" w:type="dxa"/>
            <w:vAlign w:val="top"/>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1.建筑面积承诺（3分）：供应商针对本项目应提供满足残疾人活动需求的场地面积的承诺。</w:t>
            </w:r>
            <w:r/>
          </w:p>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承诺用于残疾人托养的建筑面积在3000㎡及以上的，得3分；</w:t>
            </w:r>
            <w:r/>
          </w:p>
          <w:p>
            <w:pPr>
              <w:numPr>
                <w:ilvl w:val="0"/>
                <w:numId w:val="0"/>
              </w:numPr>
              <w:ind w:firstLine="480"/>
              <w:keepLines w:val="0"/>
              <w:keepNext w:val="0"/>
              <w:pageBreakBefore w:val="0"/>
              <w:spacing w:line="4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（2）承诺用于残疾人托养的建筑面积在1000㎡（含）-3000㎡（不含）的得1分。</w:t>
            </w:r>
            <w:r/>
          </w:p>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ascii="Times New Roman" w:hAnsi="Times New Roman"/>
                <w:color w:val="auto"/>
                <w:sz w:val="24"/>
                <w:highlight w:val="none"/>
              </w:rPr>
              <w:t xml:space="preserve">床位数承诺</w:t>
            </w:r>
            <w:r>
              <w:rPr>
                <w:rFonts w:hint="eastAsia" w:ascii="宋体" w:hAnsi="宋体" w:cs="宋体"/>
                <w:color w:val="auto"/>
                <w:sz w:val="24"/>
                <w:szCs w:val="24"/>
                <w:highlight w:val="none"/>
                <w:lang w:val="en-US" w:eastAsia="zh-CN"/>
              </w:rPr>
              <w:t xml:space="preserve">（3分）：供应商针对本项目</w:t>
            </w:r>
            <w:r>
              <w:rPr>
                <w:rFonts w:ascii="Times New Roman" w:hAnsi="Times New Roman"/>
                <w:color w:val="auto"/>
                <w:sz w:val="24"/>
                <w:highlight w:val="none"/>
              </w:rPr>
              <w:t xml:space="preserve">提供的床位数进行承诺。</w:t>
            </w:r>
            <w:r/>
          </w:p>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ascii="Times New Roman" w:hAnsi="Times New Roman"/>
                <w:color w:val="auto"/>
                <w:sz w:val="24"/>
                <w:highlight w:val="none"/>
              </w:rPr>
              <w:t xml:space="preserve">承诺</w:t>
            </w:r>
            <w:r>
              <w:rPr>
                <w:rFonts w:hint="eastAsia" w:ascii="宋体" w:hAnsi="宋体" w:cs="宋体"/>
                <w:color w:val="auto"/>
                <w:sz w:val="24"/>
                <w:szCs w:val="24"/>
                <w:highlight w:val="none"/>
                <w:lang w:val="en-US" w:eastAsia="zh-CN"/>
              </w:rPr>
              <w:t xml:space="preserve">提供100张及以上床位的，得3分；</w:t>
            </w:r>
            <w:r/>
          </w:p>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ascii="Times New Roman" w:hAnsi="Times New Roman"/>
                <w:color w:val="auto"/>
                <w:sz w:val="24"/>
                <w:highlight w:val="none"/>
              </w:rPr>
              <w:t xml:space="preserve">承诺</w:t>
            </w:r>
            <w:r>
              <w:rPr>
                <w:rFonts w:hint="eastAsia" w:ascii="宋体" w:hAnsi="宋体" w:cs="宋体"/>
                <w:color w:val="auto"/>
                <w:sz w:val="24"/>
                <w:szCs w:val="24"/>
                <w:highlight w:val="none"/>
                <w:lang w:val="en-US" w:eastAsia="zh-CN"/>
              </w:rPr>
              <w:t xml:space="preserve">提供80（含）-100张（不含）床位的，得2分；</w:t>
            </w:r>
            <w:r/>
          </w:p>
          <w:p>
            <w:pPr>
              <w:numPr>
                <w:ilvl w:val="0"/>
                <w:numId w:val="0"/>
              </w:numPr>
              <w:ind w:firstLine="480"/>
              <w:keepLines w:val="0"/>
              <w:keepNext w:val="0"/>
              <w:pageBreakBefore w:val="0"/>
              <w:spacing w:line="4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ascii="Times New Roman" w:hAnsi="Times New Roman"/>
                <w:color w:val="auto"/>
                <w:sz w:val="24"/>
                <w:highlight w:val="none"/>
              </w:rPr>
              <w:t xml:space="preserve">承诺</w:t>
            </w:r>
            <w:r>
              <w:rPr>
                <w:rFonts w:hint="eastAsia" w:ascii="宋体" w:hAnsi="宋体" w:cs="宋体"/>
                <w:color w:val="auto"/>
                <w:sz w:val="24"/>
                <w:szCs w:val="24"/>
                <w:highlight w:val="none"/>
                <w:lang w:val="en-US" w:eastAsia="zh-CN"/>
              </w:rPr>
              <w:t xml:space="preserve">提供80张（不含）以下的，得1分。</w:t>
            </w:r>
            <w:r/>
          </w:p>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3.家具家电设施（2分）：供应商针对本项目提供的房间，含有电视、衣柜、床头柜、一键呼叫设施、排风扇、供氧设备的，设备齐全的得2分。（提供家具家电设施照片等证明材料）</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4.供应商场地具有：康复训练室、档案室、心理咨询室、阅览室，每有一项得0.5分，本项最高得2分。</w:t>
            </w:r>
            <w:r/>
          </w:p>
        </w:tc>
      </w:tr>
      <w:tr>
        <w:trPr>
          <w:trHeight w:val="565"/>
        </w:trPr>
        <w:tc>
          <w:tcPr>
            <w:tcBorders>
              <w:left w:val="single" w:color="auto" w:sz="4" w:space="0"/>
              <w:right w:val="single" w:color="auto" w:sz="4" w:space="0"/>
            </w:tcBorders>
            <w:tcW w:w="1182" w:type="dxa"/>
            <w:vAlign w:val="center"/>
            <w:vMerge w:val="continue"/>
            <w:textDirection w:val="lrTb"/>
            <w:noWrap w:val="false"/>
          </w:tcPr>
          <w:p>
            <w:pPr>
              <w:ind w:left="158"/>
              <w:jc w:val="center"/>
              <w:keepLines w:val="0"/>
              <w:keepNext w:val="0"/>
              <w:pageBreakBefore w:val="0"/>
              <w:spacing w:line="400" w:lineRule="exact"/>
              <w:widowControl w:val="off"/>
              <w:rPr>
                <w:rFonts w:ascii="宋体" w:hAnsi="宋体"/>
                <w:color w:val="auto"/>
                <w:spacing w:val="13"/>
                <w:sz w:val="24"/>
                <w:highlight w:val="none"/>
              </w:rPr>
            </w:pPr>
            <w:r>
              <w:rPr>
                <w:rFonts w:ascii="宋体" w:hAnsi="宋体"/>
                <w:color w:val="auto"/>
                <w:spacing w:val="13"/>
                <w:sz w:val="24"/>
                <w:highlight w:val="none"/>
              </w:rPr>
            </w:r>
            <w:r/>
          </w:p>
        </w:tc>
        <w:tc>
          <w:tcPr>
            <w:tcBorders>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项目负责人  （</w:t>
            </w:r>
            <w:r>
              <w:rPr>
                <w:rFonts w:hint="eastAsia" w:ascii="宋体" w:hAnsi="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分）</w:t>
            </w:r>
            <w:r/>
          </w:p>
        </w:tc>
        <w:tc>
          <w:tcPr>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1.项目负责人具有社会工作</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社会福利</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特殊教育</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康复</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医疗等相关</w:t>
            </w:r>
            <w:r>
              <w:rPr>
                <w:rFonts w:hint="eastAsia" w:ascii="宋体" w:hAnsi="宋体" w:cs="宋体"/>
                <w:color w:val="auto"/>
                <w:sz w:val="24"/>
                <w:szCs w:val="24"/>
                <w:highlight w:val="none"/>
                <w:lang w:val="en-US" w:eastAsia="zh-CN"/>
              </w:rPr>
              <w:t xml:space="preserve">专业</w:t>
            </w:r>
            <w:r>
              <w:rPr>
                <w:rFonts w:hint="eastAsia" w:ascii="宋体" w:hAnsi="宋体" w:eastAsia="宋体" w:cs="宋体"/>
                <w:color w:val="auto"/>
                <w:sz w:val="24"/>
                <w:szCs w:val="24"/>
                <w:highlight w:val="none"/>
                <w:lang w:val="en-US" w:eastAsia="zh-CN"/>
              </w:rPr>
              <w:t xml:space="preserve">本科及以上学历得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.项目负责人具有主任医师（主任护师）职称的得4分，有副主任医师（副主任护师）职称的得3分，主治医师（主管护师）得2分，执业医师（护师）的得1分。</w:t>
            </w:r>
            <w:r/>
          </w:p>
          <w:p>
            <w:pPr>
              <w:numPr>
                <w:ilvl w:val="0"/>
                <w:numId w:val="0"/>
              </w:numPr>
              <w:ind w:firstLine="480"/>
              <w:keepLines w:val="0"/>
              <w:keepNext w:val="0"/>
              <w:pageBreakBefore w:val="0"/>
              <w:spacing w:line="400" w:lineRule="exact"/>
              <w:widowControl w:val="off"/>
              <w:rPr>
                <w:rFonts w:hint="default" w:cs="Times New Roman"/>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响应文件中须提供项目负责人学历证书及相应</w:t>
            </w:r>
            <w:r>
              <w:rPr>
                <w:rFonts w:hint="eastAsia" w:ascii="宋体" w:hAnsi="宋体" w:cs="宋体"/>
                <w:color w:val="auto"/>
                <w:sz w:val="24"/>
                <w:szCs w:val="24"/>
                <w:highlight w:val="none"/>
                <w:lang w:val="en-US" w:eastAsia="zh-CN"/>
              </w:rPr>
              <w:t xml:space="preserve">的职称</w:t>
            </w:r>
            <w:r>
              <w:rPr>
                <w:rFonts w:hint="eastAsia" w:ascii="宋体" w:hAnsi="宋体" w:eastAsia="宋体" w:cs="宋体"/>
                <w:color w:val="auto"/>
                <w:sz w:val="24"/>
                <w:szCs w:val="24"/>
                <w:highlight w:val="none"/>
                <w:lang w:val="en-US" w:eastAsia="zh-CN"/>
              </w:rPr>
              <w:t xml:space="preserve">证书</w:t>
            </w:r>
            <w:r>
              <w:rPr>
                <w:rFonts w:hint="eastAsia" w:ascii="宋体" w:hAnsi="宋体" w:cs="宋体"/>
                <w:color w:val="auto"/>
                <w:sz w:val="24"/>
                <w:szCs w:val="24"/>
                <w:highlight w:val="none"/>
                <w:lang w:val="en-US" w:eastAsia="zh-CN"/>
              </w:rPr>
              <w:t xml:space="preserve">等证明材料的</w:t>
            </w:r>
            <w:r>
              <w:rPr>
                <w:rFonts w:hint="eastAsia" w:ascii="宋体" w:hAnsi="宋体" w:eastAsia="宋体" w:cs="宋体"/>
                <w:color w:val="auto"/>
                <w:sz w:val="24"/>
                <w:szCs w:val="24"/>
                <w:highlight w:val="none"/>
                <w:lang w:val="en-US" w:eastAsia="zh-CN"/>
              </w:rPr>
              <w:t xml:space="preserve">原件扫描件</w:t>
            </w:r>
            <w:r>
              <w:rPr>
                <w:rFonts w:hint="eastAsia" w:ascii="宋体" w:hAnsi="宋体" w:cs="宋体"/>
                <w:color w:val="auto"/>
                <w:sz w:val="24"/>
                <w:szCs w:val="24"/>
                <w:highlight w:val="none"/>
                <w:lang w:val="en-US" w:eastAsia="zh-CN"/>
              </w:rPr>
              <w:t xml:space="preserve">。（2）需提供</w:t>
            </w:r>
            <w:r>
              <w:rPr>
                <w:rFonts w:hint="eastAsia" w:ascii="宋体" w:hAnsi="宋体" w:eastAsia="宋体" w:cs="宋体"/>
                <w:color w:val="auto"/>
                <w:sz w:val="24"/>
                <w:szCs w:val="24"/>
                <w:highlight w:val="none"/>
                <w:lang w:val="en-US" w:eastAsia="zh-CN"/>
              </w:rPr>
              <w:t xml:space="preserve">供应商为其缴纳的</w:t>
            </w:r>
            <w:r>
              <w:rPr>
                <w:rFonts w:hint="eastAsia" w:ascii="宋体" w:hAnsi="宋体" w:cs="宋体"/>
                <w:color w:val="auto"/>
                <w:sz w:val="24"/>
                <w:szCs w:val="24"/>
                <w:highlight w:val="none"/>
                <w:lang w:val="en-US" w:eastAsia="zh-CN"/>
              </w:rPr>
              <w:t xml:space="preserve">2026年1月</w:t>
            </w:r>
            <w:r>
              <w:rPr>
                <w:rFonts w:hint="eastAsia" w:ascii="宋体" w:hAnsi="宋体" w:eastAsia="宋体" w:cs="宋体"/>
                <w:color w:val="auto"/>
                <w:sz w:val="24"/>
                <w:szCs w:val="24"/>
                <w:highlight w:val="none"/>
                <w:lang w:val="en-US" w:eastAsia="zh-CN"/>
              </w:rPr>
              <w:t xml:space="preserve">以来任意</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个月由社保机构出具的社保缴纳证明(加盖社保中心章或社保中心参保缴费证明电子专用章)，未提供不得分。</w:t>
            </w:r>
            <w:r/>
          </w:p>
        </w:tc>
      </w:tr>
      <w:tr>
        <w:trPr>
          <w:trHeight w:val="381"/>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iCs/>
                <w:color w:val="auto"/>
                <w:sz w:val="24"/>
                <w:szCs w:val="22"/>
                <w:highlight w:val="none"/>
              </w:rPr>
            </w:pPr>
            <w:r>
              <w:rPr>
                <w:rFonts w:hint="eastAsia" w:ascii="宋体" w:hAnsi="宋体" w:eastAsia="宋体" w:cs="宋体"/>
                <w:iCs/>
                <w:color w:val="auto"/>
                <w:sz w:val="24"/>
                <w:szCs w:val="22"/>
                <w:highlight w:val="none"/>
              </w:rPr>
              <w:t xml:space="preserve">项目团队成员配备</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hint="eastAsia" w:ascii="宋体" w:hAnsi="宋体" w:eastAsia="宋体" w:cs="宋体"/>
                <w:iCs/>
                <w:color w:val="auto"/>
                <w:sz w:val="24"/>
                <w:szCs w:val="22"/>
                <w:highlight w:val="none"/>
              </w:rPr>
              <w:t xml:space="preserve">（</w:t>
            </w:r>
            <w:r>
              <w:rPr>
                <w:rFonts w:hint="eastAsia" w:ascii="宋体" w:hAnsi="宋体" w:cs="宋体"/>
                <w:iCs/>
                <w:color w:val="auto"/>
                <w:sz w:val="24"/>
                <w:szCs w:val="22"/>
                <w:highlight w:val="none"/>
                <w:lang w:val="en-US" w:eastAsia="zh-CN"/>
              </w:rPr>
              <w:t xml:space="preserve">39</w:t>
            </w:r>
            <w:r>
              <w:rPr>
                <w:rFonts w:hint="eastAsia" w:ascii="宋体" w:hAnsi="宋体" w:eastAsia="宋体" w:cs="宋体"/>
                <w:iCs/>
                <w:color w:val="auto"/>
                <w:sz w:val="24"/>
                <w:szCs w:val="22"/>
                <w:highlight w:val="none"/>
              </w:rPr>
              <w:t xml:space="preserve">分）</w:t>
            </w:r>
            <w:r/>
          </w:p>
        </w:tc>
        <w:tc>
          <w:tcPr>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项目团队成员（不包括项目负责人），提供人员明细表：</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项目团队成员</w:t>
            </w:r>
            <w:r>
              <w:rPr>
                <w:rFonts w:hint="eastAsia" w:ascii="宋体" w:hAnsi="宋体" w:cs="宋体"/>
                <w:color w:val="auto"/>
                <w:sz w:val="24"/>
                <w:szCs w:val="24"/>
                <w:highlight w:val="none"/>
                <w:lang w:val="en-US" w:eastAsia="zh-CN"/>
              </w:rPr>
              <w:t xml:space="preserve">在满足项目需求的基础上（</w:t>
            </w:r>
            <w:r>
              <w:rPr>
                <w:rFonts w:hint="eastAsia" w:ascii="宋体" w:hAnsi="宋体" w:eastAsia="宋体" w:cs="宋体"/>
                <w:b w:val="0"/>
                <w:bCs w:val="0"/>
                <w:color w:val="auto"/>
                <w:sz w:val="24"/>
                <w:szCs w:val="24"/>
                <w:highlight w:val="none"/>
                <w:lang w:val="en-US" w:eastAsia="zh-CN"/>
              </w:rPr>
              <w:t xml:space="preserve">护士不少于2名</w:t>
            </w:r>
            <w:r>
              <w:rPr>
                <w:rFonts w:hint="eastAsia" w:ascii="宋体" w:hAnsi="宋体" w:cs="宋体"/>
                <w:color w:val="auto"/>
                <w:sz w:val="24"/>
                <w:szCs w:val="24"/>
                <w:highlight w:val="none"/>
                <w:lang w:val="en-US" w:eastAsia="zh-CN"/>
              </w:rPr>
              <w:t xml:space="preserve">），每增加一名护士（</w:t>
            </w:r>
            <w:r>
              <w:rPr>
                <w:rFonts w:hint="eastAsia" w:ascii="宋体" w:hAnsi="宋体" w:eastAsia="宋体" w:cs="宋体"/>
                <w:color w:val="auto"/>
                <w:sz w:val="24"/>
                <w:szCs w:val="24"/>
                <w:highlight w:val="none"/>
                <w:lang w:val="en-US" w:eastAsia="zh-CN"/>
              </w:rPr>
              <w:t xml:space="preserve">具有护士资格证书</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得0.5分，本项最高得分5分。</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项目团队成员</w:t>
            </w:r>
            <w:r>
              <w:rPr>
                <w:rFonts w:hint="eastAsia" w:ascii="宋体" w:hAnsi="宋体" w:cs="宋体"/>
                <w:color w:val="auto"/>
                <w:sz w:val="24"/>
                <w:szCs w:val="24"/>
                <w:highlight w:val="none"/>
                <w:lang w:val="en-US" w:eastAsia="zh-CN"/>
              </w:rPr>
              <w:t xml:space="preserve">在满足项目需求的基础上（</w:t>
            </w:r>
            <w:r>
              <w:rPr>
                <w:rFonts w:hint="eastAsia" w:ascii="宋体" w:hAnsi="宋体" w:eastAsia="宋体" w:cs="宋体"/>
                <w:b w:val="0"/>
                <w:bCs w:val="0"/>
                <w:color w:val="auto"/>
                <w:sz w:val="24"/>
                <w:szCs w:val="24"/>
                <w:highlight w:val="none"/>
                <w:lang w:val="en-US" w:eastAsia="zh-CN"/>
              </w:rPr>
              <w:t xml:space="preserve">医生不少于2名</w:t>
            </w:r>
            <w:r>
              <w:rPr>
                <w:rFonts w:hint="eastAsia" w:ascii="宋体" w:hAnsi="宋体" w:cs="宋体"/>
                <w:color w:val="auto"/>
                <w:sz w:val="24"/>
                <w:szCs w:val="24"/>
                <w:highlight w:val="none"/>
                <w:lang w:val="en-US" w:eastAsia="zh-CN"/>
              </w:rPr>
              <w:t xml:space="preserve">），每增加一名医生</w:t>
            </w:r>
            <w:r>
              <w:rPr>
                <w:rFonts w:hint="eastAsia" w:ascii="宋体" w:hAnsi="宋体" w:eastAsia="宋体" w:cs="宋体"/>
                <w:color w:val="auto"/>
                <w:sz w:val="24"/>
                <w:szCs w:val="24"/>
                <w:highlight w:val="none"/>
                <w:lang w:val="en-US" w:eastAsia="zh-CN"/>
              </w:rPr>
              <w:t xml:space="preserve">具有主任医师职称的，每有一个得3分；具有副主任医师职称的，每有一个得2分；具有主治医师职称的，每有一个得1分；本项最高得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项目团队成员具有主任护师资格的，每有一个得4分；具有副主任护师资格的，每有一个得3分；主管护师</w:t>
            </w:r>
            <w:r>
              <w:rPr>
                <w:rFonts w:hint="eastAsia" w:ascii="宋体" w:hAnsi="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lang w:val="en-US" w:eastAsia="zh-CN"/>
              </w:rPr>
              <w:t xml:space="preserve">资格的，每有一个得2分；具有护师</w:t>
            </w:r>
            <w:r>
              <w:rPr>
                <w:rFonts w:hint="eastAsia" w:ascii="宋体" w:hAnsi="宋体" w:cs="宋体"/>
                <w:color w:val="auto"/>
                <w:sz w:val="24"/>
                <w:szCs w:val="24"/>
                <w:highlight w:val="none"/>
                <w:lang w:val="en-US" w:eastAsia="zh-CN"/>
              </w:rPr>
              <w:t xml:space="preserve">（初级）</w:t>
            </w:r>
            <w:r>
              <w:rPr>
                <w:rFonts w:hint="eastAsia" w:ascii="宋体" w:hAnsi="宋体" w:eastAsia="宋体" w:cs="宋体"/>
                <w:color w:val="auto"/>
                <w:sz w:val="24"/>
                <w:szCs w:val="24"/>
                <w:highlight w:val="none"/>
                <w:lang w:val="en-US" w:eastAsia="zh-CN"/>
              </w:rPr>
              <w:t xml:space="preserve">资格的，每有一个得1分；本项最高得8分。</w:t>
            </w:r>
            <w:r/>
          </w:p>
          <w:p>
            <w:pPr>
              <w:numPr>
                <w:ilvl w:val="0"/>
                <w:numId w:val="0"/>
              </w:num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项目团队成员</w:t>
            </w:r>
            <w:r>
              <w:rPr>
                <w:rFonts w:hint="eastAsia" w:ascii="宋体" w:hAnsi="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lang w:val="en-US" w:eastAsia="zh-CN"/>
              </w:rPr>
              <w:t xml:space="preserve">社会工作师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营养师、心理咨询师</w:t>
            </w:r>
            <w:r>
              <w:rPr>
                <w:rFonts w:hint="eastAsia" w:ascii="宋体" w:hAnsi="宋体" w:cs="宋体"/>
                <w:color w:val="auto"/>
                <w:sz w:val="24"/>
                <w:szCs w:val="24"/>
                <w:highlight w:val="none"/>
                <w:lang w:val="en-US" w:eastAsia="zh-CN"/>
              </w:rPr>
              <w:t xml:space="preserve">、执业药师等资质人员</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每有一项得2分，</w:t>
            </w: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项目团队成员中具有相关专业本科及以上学历的每有一个得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 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numPr>
                <w:ilvl w:val="0"/>
                <w:numId w:val="0"/>
              </w:num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响应文件中须提供项目</w:t>
            </w:r>
            <w:r>
              <w:rPr>
                <w:rFonts w:hint="eastAsia" w:ascii="宋体" w:hAnsi="宋体" w:cs="宋体"/>
                <w:color w:val="auto"/>
                <w:sz w:val="24"/>
                <w:szCs w:val="24"/>
                <w:highlight w:val="none"/>
                <w:lang w:val="en-US" w:eastAsia="zh-CN"/>
              </w:rPr>
              <w:t xml:space="preserve">团队成员</w:t>
            </w:r>
            <w:r>
              <w:rPr>
                <w:rFonts w:hint="eastAsia" w:ascii="宋体" w:hAnsi="宋体" w:eastAsia="宋体" w:cs="宋体"/>
                <w:color w:val="auto"/>
                <w:sz w:val="24"/>
                <w:szCs w:val="24"/>
                <w:highlight w:val="none"/>
                <w:lang w:val="en-US" w:eastAsia="zh-CN"/>
              </w:rPr>
              <w:t xml:space="preserve">学历证书及相应</w:t>
            </w:r>
            <w:r>
              <w:rPr>
                <w:rFonts w:hint="eastAsia" w:ascii="宋体" w:hAnsi="宋体" w:cs="宋体"/>
                <w:color w:val="auto"/>
                <w:sz w:val="24"/>
                <w:szCs w:val="24"/>
                <w:highlight w:val="none"/>
                <w:lang w:val="en-US" w:eastAsia="zh-CN"/>
              </w:rPr>
              <w:t xml:space="preserve">的职称</w:t>
            </w:r>
            <w:r>
              <w:rPr>
                <w:rFonts w:hint="eastAsia" w:ascii="宋体" w:hAnsi="宋体" w:eastAsia="宋体" w:cs="宋体"/>
                <w:color w:val="auto"/>
                <w:sz w:val="24"/>
                <w:szCs w:val="24"/>
                <w:highlight w:val="none"/>
                <w:lang w:val="en-US" w:eastAsia="zh-CN"/>
              </w:rPr>
              <w:t xml:space="preserve">证书</w:t>
            </w:r>
            <w:r>
              <w:rPr>
                <w:rFonts w:hint="eastAsia" w:ascii="宋体" w:hAnsi="宋体" w:cs="宋体"/>
                <w:color w:val="auto"/>
                <w:sz w:val="24"/>
                <w:szCs w:val="24"/>
                <w:highlight w:val="none"/>
                <w:lang w:val="en-US" w:eastAsia="zh-CN"/>
              </w:rPr>
              <w:t xml:space="preserve">或资格证书等相关证明材料的</w:t>
            </w:r>
            <w:r>
              <w:rPr>
                <w:rFonts w:hint="eastAsia" w:ascii="宋体" w:hAnsi="宋体" w:eastAsia="宋体" w:cs="宋体"/>
                <w:color w:val="auto"/>
                <w:sz w:val="24"/>
                <w:szCs w:val="24"/>
                <w:highlight w:val="none"/>
                <w:lang w:val="en-US" w:eastAsia="zh-CN"/>
              </w:rPr>
              <w:t xml:space="preserve">原件扫描件</w:t>
            </w:r>
            <w:r>
              <w:rPr>
                <w:rFonts w:hint="eastAsia" w:ascii="宋体" w:hAnsi="宋体" w:cs="宋体"/>
                <w:color w:val="auto"/>
                <w:sz w:val="24"/>
                <w:szCs w:val="24"/>
                <w:highlight w:val="none"/>
                <w:lang w:val="en-US" w:eastAsia="zh-CN"/>
              </w:rPr>
              <w:t xml:space="preserve">。（2）需提供</w:t>
            </w:r>
            <w:r>
              <w:rPr>
                <w:rFonts w:hint="eastAsia" w:ascii="宋体" w:hAnsi="宋体" w:eastAsia="宋体" w:cs="宋体"/>
                <w:color w:val="auto"/>
                <w:sz w:val="24"/>
                <w:szCs w:val="24"/>
                <w:highlight w:val="none"/>
                <w:lang w:val="en-US" w:eastAsia="zh-CN"/>
              </w:rPr>
              <w:t xml:space="preserve">供应商为其缴纳的</w:t>
            </w:r>
            <w:r>
              <w:rPr>
                <w:rFonts w:hint="eastAsia" w:ascii="宋体" w:hAnsi="宋体" w:cs="宋体"/>
                <w:color w:val="auto"/>
                <w:sz w:val="24"/>
                <w:szCs w:val="24"/>
                <w:highlight w:val="none"/>
                <w:lang w:val="en-US" w:eastAsia="zh-CN"/>
              </w:rPr>
              <w:t xml:space="preserve">2026年1月</w:t>
            </w:r>
            <w:r>
              <w:rPr>
                <w:rFonts w:hint="eastAsia" w:ascii="宋体" w:hAnsi="宋体" w:eastAsia="宋体" w:cs="宋体"/>
                <w:color w:val="auto"/>
                <w:sz w:val="24"/>
                <w:szCs w:val="24"/>
                <w:highlight w:val="none"/>
                <w:lang w:val="en-US" w:eastAsia="zh-CN"/>
              </w:rPr>
              <w:t xml:space="preserve">以来任意</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个月由社保机构出具的社保缴纳证明(加盖社保中心章或社保中心参保缴费证明电子专用章)，未提供不得分。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w:t>
            </w:r>
            <w:r>
              <w:rPr>
                <w:rFonts w:hint="eastAsia" w:ascii="宋体" w:hAnsi="宋体" w:cs="宋体"/>
                <w:color w:val="auto"/>
                <w:sz w:val="24"/>
                <w:szCs w:val="24"/>
                <w:highlight w:val="none"/>
                <w:lang w:val="en-US" w:eastAsia="zh-CN"/>
              </w:rPr>
              <w:t xml:space="preserve">团队成员不允许重复计分。</w:t>
            </w:r>
            <w:r/>
          </w:p>
        </w:tc>
      </w:tr>
      <w:tr>
        <w:trPr>
          <w:trHeight w:val="804"/>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shd w:val="clear" w:color="auto" w:fill="auto"/>
            <w:tcBorders>
              <w:left w:val="single" w:color="auto" w:sz="4"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ind w:left="0"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综合实力</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shd w:val="clear" w:color="auto" w:fill="auto"/>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w:t>
            </w:r>
            <w:r>
              <w:rPr>
                <w:rFonts w:hint="eastAsia" w:ascii="宋体" w:hAnsi="宋体" w:cs="宋体"/>
                <w:color w:val="auto"/>
                <w:sz w:val="24"/>
                <w:szCs w:val="24"/>
                <w:highlight w:val="none"/>
                <w:lang w:val="en-US" w:eastAsia="zh-CN"/>
              </w:rPr>
              <w:t xml:space="preserve">本身</w:t>
            </w:r>
            <w:r>
              <w:rPr>
                <w:rFonts w:hint="eastAsia" w:ascii="宋体" w:hAnsi="宋体" w:eastAsia="宋体" w:cs="宋体"/>
                <w:color w:val="auto"/>
                <w:sz w:val="24"/>
                <w:szCs w:val="24"/>
                <w:highlight w:val="none"/>
                <w:lang w:val="en-US" w:eastAsia="zh-CN"/>
              </w:rPr>
              <w:t xml:space="preserve">具备应急救护能力，</w:t>
            </w:r>
            <w:r>
              <w:rPr>
                <w:rFonts w:hint="eastAsia" w:ascii="宋体" w:hAnsi="宋体" w:cs="宋体"/>
                <w:color w:val="auto"/>
                <w:sz w:val="24"/>
                <w:szCs w:val="24"/>
                <w:highlight w:val="none"/>
                <w:lang w:val="en-US" w:eastAsia="zh-CN"/>
              </w:rPr>
              <w:t xml:space="preserve">自有</w:t>
            </w:r>
            <w:r>
              <w:rPr>
                <w:rFonts w:hint="eastAsia" w:ascii="宋体" w:hAnsi="宋体" w:eastAsia="宋体" w:cs="宋体"/>
                <w:color w:val="auto"/>
                <w:sz w:val="24"/>
                <w:szCs w:val="24"/>
                <w:highlight w:val="none"/>
                <w:lang w:val="en-US" w:eastAsia="zh-CN"/>
              </w:rPr>
              <w:t xml:space="preserve">应急抢救室及相关急救设备的得3分；供应商</w:t>
            </w:r>
            <w:r>
              <w:rPr>
                <w:rFonts w:hint="eastAsia" w:ascii="宋体" w:hAnsi="宋体" w:cs="宋体"/>
                <w:color w:val="auto"/>
                <w:sz w:val="24"/>
                <w:szCs w:val="24"/>
                <w:highlight w:val="none"/>
                <w:lang w:val="en-US" w:eastAsia="zh-CN"/>
              </w:rPr>
              <w:t xml:space="preserve">有签约专业医疗机构</w:t>
            </w:r>
            <w:r>
              <w:rPr>
                <w:rFonts w:hint="eastAsia" w:ascii="宋体" w:hAnsi="宋体" w:eastAsia="宋体" w:cs="宋体"/>
                <w:color w:val="auto"/>
                <w:sz w:val="24"/>
                <w:szCs w:val="24"/>
                <w:highlight w:val="none"/>
                <w:lang w:val="en-US" w:eastAsia="zh-CN"/>
              </w:rPr>
              <w:t xml:space="preserve">得1分。</w:t>
            </w:r>
            <w:r>
              <w:rPr>
                <w:rFonts w:hint="eastAsia" w:ascii="宋体" w:hAnsi="宋体" w:eastAsia="宋体" w:cs="宋体"/>
                <w:color w:val="auto"/>
                <w:sz w:val="24"/>
                <w:szCs w:val="24"/>
                <w:highlight w:val="none"/>
                <w:lang w:val="en-US" w:eastAsia="zh-CN"/>
              </w:rPr>
              <w:br/>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2.供应商</w:t>
            </w:r>
            <w:r>
              <w:rPr>
                <w:rFonts w:hint="eastAsia" w:ascii="宋体" w:hAnsi="宋体" w:cs="宋体"/>
                <w:color w:val="auto"/>
                <w:sz w:val="24"/>
                <w:szCs w:val="24"/>
                <w:highlight w:val="none"/>
                <w:lang w:val="en-US" w:eastAsia="zh-CN"/>
              </w:rPr>
              <w:t xml:space="preserve">本身</w:t>
            </w:r>
            <w:r>
              <w:rPr>
                <w:rFonts w:hint="eastAsia" w:ascii="宋体" w:hAnsi="宋体" w:eastAsia="宋体" w:cs="宋体"/>
                <w:color w:val="auto"/>
                <w:sz w:val="24"/>
                <w:szCs w:val="24"/>
                <w:highlight w:val="none"/>
                <w:lang w:val="en-US" w:eastAsia="zh-CN"/>
              </w:rPr>
              <w:t xml:space="preserve">具备开展常规体检的地方得3分，供应商</w:t>
            </w:r>
            <w:r>
              <w:rPr>
                <w:rFonts w:hint="eastAsia" w:ascii="宋体" w:hAnsi="宋体" w:cs="宋体"/>
                <w:color w:val="auto"/>
                <w:sz w:val="24"/>
                <w:szCs w:val="24"/>
                <w:highlight w:val="none"/>
                <w:lang w:val="en-US" w:eastAsia="zh-CN"/>
              </w:rPr>
              <w:t xml:space="preserve">有签约专业医疗机构提供</w:t>
            </w:r>
            <w:r>
              <w:rPr>
                <w:rFonts w:hint="eastAsia" w:ascii="宋体" w:hAnsi="宋体" w:eastAsia="宋体" w:cs="宋体"/>
                <w:color w:val="auto"/>
                <w:sz w:val="24"/>
                <w:szCs w:val="24"/>
                <w:highlight w:val="none"/>
                <w:lang w:val="en-US" w:eastAsia="zh-CN"/>
              </w:rPr>
              <w:t xml:space="preserve">开展常规体检的地方，得1分。</w:t>
            </w:r>
            <w:r/>
          </w:p>
          <w:p>
            <w:pPr>
              <w:numPr>
                <w:ilvl w:val="0"/>
                <w:numId w:val="0"/>
              </w:numPr>
              <w:ind w:left="0"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注：提供相关证明材料。</w:t>
            </w:r>
            <w:r/>
          </w:p>
        </w:tc>
      </w:tr>
      <w:tr>
        <w:trPr>
          <w:trHeight w:val="90"/>
        </w:trPr>
        <w:tc>
          <w:tcPr>
            <w:tcBorders>
              <w:top w:val="single" w:color="auto" w:sz="4" w:space="0"/>
              <w:left w:val="single" w:color="auto" w:sz="4" w:space="0"/>
              <w:right w:val="single" w:color="auto" w:sz="4" w:space="0"/>
            </w:tcBorders>
            <w:tcW w:w="1182" w:type="dxa"/>
            <w:vAlign w:val="center"/>
            <w:vMerge w:val="restart"/>
            <w:textDirection w:val="lrTb"/>
            <w:noWrap w:val="false"/>
          </w:tcPr>
          <w:p>
            <w:pPr>
              <w:jc w:val="center"/>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p>
            <w:pPr>
              <w:ind w:left="175"/>
              <w:jc w:val="center"/>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t xml:space="preserve">技术</w:t>
            </w:r>
            <w:r/>
          </w:p>
          <w:p>
            <w:pPr>
              <w:ind w:left="175"/>
              <w:jc w:val="center"/>
              <w:keepLines w:val="0"/>
              <w:keepNext w:val="0"/>
              <w:pageBreakBefore w:val="0"/>
              <w:spacing w:line="400" w:lineRule="exact"/>
              <w:widowControl w:val="off"/>
              <w:rPr>
                <w:rFonts w:ascii="宋体" w:hAnsi="宋体"/>
                <w:color w:val="auto"/>
                <w:sz w:val="24"/>
                <w:highlight w:val="none"/>
              </w:rPr>
            </w:pPr>
            <w:r>
              <w:rPr>
                <w:rFonts w:ascii="宋体" w:hAnsi="宋体"/>
                <w:color w:val="auto"/>
                <w:spacing w:val="7"/>
                <w:sz w:val="24"/>
                <w:highlight w:val="none"/>
              </w:rPr>
              <w:t xml:space="preserve">部分</w:t>
            </w:r>
            <w:r/>
          </w:p>
          <w:p>
            <w:pPr>
              <w:ind w:left="158"/>
              <w:jc w:val="center"/>
              <w:keepLines w:val="0"/>
              <w:keepNext w:val="0"/>
              <w:pageBreakBefore w:val="0"/>
              <w:spacing w:line="400" w:lineRule="exact"/>
              <w:widowControl w:val="off"/>
              <w:rPr>
                <w:rFonts w:ascii="宋体" w:hAnsi="宋体"/>
                <w:color w:val="auto"/>
                <w:sz w:val="24"/>
                <w:highlight w:val="none"/>
              </w:rPr>
            </w:pPr>
            <w:r>
              <w:rPr>
                <w:rFonts w:ascii="宋体" w:hAnsi="宋体"/>
                <w:color w:val="auto"/>
                <w:spacing w:val="13"/>
                <w:sz w:val="24"/>
                <w:highlight w:val="none"/>
              </w:rPr>
              <w:t xml:space="preserve">(</w:t>
            </w:r>
            <w:r>
              <w:rPr>
                <w:rFonts w:hint="eastAsia" w:ascii="宋体" w:hAnsi="宋体"/>
                <w:color w:val="auto"/>
                <w:spacing w:val="10"/>
                <w:sz w:val="24"/>
                <w:highlight w:val="none"/>
                <w:lang w:val="en-US" w:eastAsia="zh-CN"/>
              </w:rPr>
              <w:t xml:space="preserve">30</w:t>
            </w:r>
            <w:r>
              <w:rPr>
                <w:rFonts w:ascii="宋体" w:hAnsi="宋体"/>
                <w:color w:val="auto"/>
                <w:spacing w:val="10"/>
                <w:sz w:val="24"/>
                <w:highlight w:val="none"/>
              </w:rPr>
              <w:t xml:space="preserve">分)</w:t>
            </w:r>
            <w:r/>
          </w:p>
        </w:tc>
        <w:tc>
          <w:tcPr>
            <w:tcBorders>
              <w:left w:val="single" w:color="auto" w:sz="4" w:space="0"/>
              <w:bottom w:val="single" w:color="000000" w:sz="2"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项目总体实施方案(</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bottom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项目需求”内容编制总体服务方案及保障执行措施，包含但不限于总体工作计划、阶段性工作计划、工作总体管理方案等；针对服务的特殊群体提出合理、可行的创新特殊服务承诺及实施办法和执行措施。</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方案具有技术先进、周密性好、可操作性强得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方案技术较先进、周密性较好、可操作性较强得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方案技术、周密性、可操作性一般得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未提供不得分。</w:t>
            </w:r>
            <w:r/>
          </w:p>
        </w:tc>
      </w:tr>
      <w:tr>
        <w:trPr>
          <w:trHeight w:val="316"/>
        </w:trPr>
        <w:tc>
          <w:tcPr>
            <w:tcBorders>
              <w:left w:val="single" w:color="auto" w:sz="4" w:space="0"/>
              <w:right w:val="single" w:color="auto" w:sz="4" w:space="0"/>
            </w:tcBorders>
            <w:tcW w:w="1182" w:type="dxa"/>
            <w:vAlign w:val="center"/>
            <w:vMerge w:val="continue"/>
            <w:textDirection w:val="lrTb"/>
            <w:noWrap w:val="false"/>
          </w:tcPr>
          <w:p>
            <w:pPr>
              <w:jc w:val="center"/>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bottom w:val="single" w:color="000000" w:sz="2"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生活照料和护理服务实施方案(</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top w:val="single" w:color="000000" w:sz="2" w:space="0"/>
              <w:bottom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所提供针对本项目生活照料和护理服务方面制定科学、合理、符合服务对象需求的工作计划、服务标准、服务质量和保障措施等方案内容进行评分。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方案内容完整、针对性强、切实可行的，得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方案内容较完整、针对性较强、较切实可行的，得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方案内容基本完整、针对性基本合理、基本可行的，得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未提供不得分。</w:t>
            </w:r>
            <w:r/>
          </w:p>
        </w:tc>
      </w:tr>
      <w:tr>
        <w:trPr>
          <w:trHeight w:val="621"/>
        </w:trPr>
        <w:tc>
          <w:tcPr>
            <w:tcBorders>
              <w:left w:val="single" w:color="auto" w:sz="4" w:space="0"/>
              <w:right w:val="single" w:color="auto" w:sz="4" w:space="0"/>
            </w:tcBorders>
            <w:tcW w:w="1182" w:type="dxa"/>
            <w:vAlign w:val="center"/>
            <w:vMerge w:val="continue"/>
            <w:textDirection w:val="lrTb"/>
            <w:noWrap w:val="false"/>
          </w:tcPr>
          <w:p>
            <w:pPr>
              <w:jc w:val="center"/>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bottom w:val="single" w:color="000000" w:sz="2"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iCs/>
                <w:color w:val="auto"/>
                <w:sz w:val="24"/>
                <w:szCs w:val="22"/>
                <w:highlight w:val="none"/>
              </w:rPr>
            </w:pPr>
            <w:r>
              <w:rPr>
                <w:rFonts w:hint="eastAsia" w:ascii="宋体" w:hAnsi="宋体" w:eastAsia="宋体" w:cs="宋体"/>
                <w:bCs/>
                <w:iCs/>
                <w:color w:val="auto"/>
                <w:sz w:val="24"/>
                <w:szCs w:val="22"/>
                <w:highlight w:val="none"/>
              </w:rPr>
              <w:t xml:space="preserve">膳食服务实施方案</w:t>
            </w:r>
            <w:r/>
          </w:p>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top w:val="single" w:color="000000" w:sz="2" w:space="0"/>
              <w:bottom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针对本项目提供膳食服务实施方案，内容包含但不限于为服务对象按时提供餐饮服务的周安排和月度工作计划、餐饮标准、质量保障措施等内容。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服务对象餐饮服务的周安排和月度工作计划、餐饮标准、质量保障措施操作性强的，得3分；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服务对象餐饮服务的周安排和月度工作计划、餐饮标准、质量保障措施可操作性较强的，得2分；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服务对象餐饮服务的周安排和月度工作计划、餐饮标准、质量</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保障措施缺乏可操作性的，得1分。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Cs/>
                <w:color w:val="auto"/>
                <w:sz w:val="24"/>
                <w:szCs w:val="22"/>
                <w:highlight w:val="none"/>
              </w:rPr>
            </w:pPr>
            <w:r>
              <w:rPr>
                <w:rFonts w:hint="eastAsia" w:ascii="宋体" w:hAnsi="宋体" w:eastAsia="宋体" w:cs="宋体"/>
                <w:iCs/>
                <w:color w:val="auto"/>
                <w:sz w:val="24"/>
                <w:szCs w:val="22"/>
                <w:highlight w:val="none"/>
              </w:rPr>
              <w:t xml:space="preserve">康复服务实施方案</w:t>
            </w:r>
            <w:r/>
          </w:p>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针对本项目提供康复服务实施方案，内容包含但不限于为服务对象制定康复训练计划、康复效果评估等基本康复训练服务的周安排和月度工作计划、服务质量保障措施等内容。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基本康复训练服务的周安排和月度工作计划、服务质量保障措施科学合理的，得3分；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基本康复训练服务的周安排和月度工作计划、服务质量保障措施较科学合理的，得2分；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基本康复训练服务的周安排和月度工作计划、服务质量保障措施缺乏科学合理性的，得1分。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医疗服务实施方案</w:t>
            </w:r>
            <w:r/>
          </w:p>
          <w:p>
            <w:pPr>
              <w:numPr>
                <w:ilvl w:val="0"/>
                <w:numId w:val="0"/>
              </w:numPr>
              <w:ind w:left="0"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针对本项目提供医疗服务实施方案，内容包含但不限于医务人员的配置，为服务对象提供专业的医疗康复、卫生保健和常见病、多发病、日常药品发放服务的周安排和月度工作计划、服务质量保障措施等内容。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医务人员的配置及医疗服务的周安排和月度工作计划、服务质量保障措施可行性强的，得3分；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医务人员的配置及医疗服务的周安排和月度工作计划、服务质量保障措施保障措施可行性较强的，得2分；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医务人员的配置及医疗服务的周安排和月度工作计划、服务质量保障措施缺乏可行性的，得1分。                                               </w:t>
            </w:r>
            <w:r/>
          </w:p>
          <w:p>
            <w:pPr>
              <w:numPr>
                <w:ilvl w:val="0"/>
                <w:numId w:val="0"/>
              </w:numPr>
              <w:ind w:left="0" w:firstLine="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心理服务实施方案</w:t>
            </w:r>
            <w:r/>
          </w:p>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供应商针对本项目提供心理服务实施方案，内容包含但不限于为服务对象提供定期心理咨询、精神慰藉服务，参加社区或社会公益活动服务的周安排和月度工作计划、服务质量保障措施等内容。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心理服务的周安排和月度工作计划、服务标准、服务质量保障措施合理性强的，得3分；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心理服务的周安排和月度工作计划、服务标准、服务质量保障措施合理性较强的，得2分；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心理服务的周安排和月度工作计划、服务标准、服务质量保障措施合理性一般的，得1分。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Cs/>
                <w:color w:val="auto"/>
                <w:sz w:val="24"/>
                <w:highlight w:val="none"/>
              </w:rPr>
            </w:pPr>
            <w:r>
              <w:rPr>
                <w:rFonts w:hint="eastAsia" w:ascii="宋体" w:hAnsi="宋体" w:eastAsia="宋体" w:cs="宋体"/>
                <w:color w:val="auto"/>
                <w:sz w:val="24"/>
                <w:szCs w:val="24"/>
                <w:highlight w:val="none"/>
                <w:lang w:val="en-US" w:eastAsia="zh-CN"/>
              </w:rPr>
              <w:t xml:space="preserve">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iCs/>
                <w:color w:val="auto"/>
                <w:sz w:val="24"/>
                <w:highlight w:val="none"/>
              </w:rPr>
              <w:t xml:space="preserve">辅助性服务实施方案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 xml:space="preserve">（3分）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针对本项目提供提供技能培训服务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辅助性就业服务实施方案，内容包含但不限于为服务对象开展生活技能、就业技能等参与社会的基本能力服务的周安排和月度工作计划、服务质量保障措施等内容</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为有劳动就业愿望、但就业能力不足，需要长期给予支持的服务对象开展辅助性就业训练的周安排和月度工作计划、服务质量保障措施等内容。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辅助性就业服务的周安排和月度工作计划、服务质量保障措施可操作性强的，得3分；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辅助性就业服务的周安排和月度工作计划、服务质量保障措施可操作性较强的，得2分；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辅助性就业服务的周安排和月度工作计划、服务质量保障措施可操作性一般的，得1分。</w:t>
            </w:r>
            <w:r/>
          </w:p>
          <w:p>
            <w:pPr>
              <w:numPr>
                <w:ilvl w:val="0"/>
                <w:numId w:val="0"/>
              </w:numPr>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 xml:space="preserve">卫生环境服务实施方案（3分）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针对本项目提供卫生环境服务实施方案，内容包含但不限于为服务对象提供室内卫生、用品用具保洁服务和室外公共区域内环境保洁服务的周安排和月度工作计划、服务标准、服务质量保障措施等内容。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卫生环境服务的周安排和月度工作计划、服务标准、服务质量保障措施可操作性强的，得3分；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卫生环境服务的周安排和月度工作计划、服务标准、服务质量保障措施可操作性较强的，得2分；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卫生环境服务的周安排和月度工作计划、服务标准、服务质量保障措施可操作性一般的，1分。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 xml:space="preserve">文体娱乐服务实施方案（3分）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针对本项目提供文体娱乐服务实施方案，内容包含但不限于为服务对象提供生活所需的学习、健身和娱乐服务的周安排和月度工作计划、服务质量保障措施等内容。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文体娱乐服务的周安排和月度工作计划、服务质量保障措施科学性强的，得3分；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文体娱乐服务的周安排和月度工作计划、服务质量保障措施科学性较强的，得2分；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文体娱乐服务的周安排和月度工作计划、服务质量保障措施缺乏科学性的，得1分。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551"/>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突发性事件应对方案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 xml:space="preserve">（3分）</w:t>
            </w:r>
            <w:r/>
          </w:p>
        </w:tc>
        <w:tc>
          <w:tcPr>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针对本项目提供突发性事件应对方案，内容包含但不限于对突发性事件（火灾、流行性疾病、停水停电、信访、集访、托养走失、投诉、托养对象突发疾病等）的应对预案等内容。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对突发性事件（火灾、流行性疾病、停水停电、信访、集访、托养走失、投诉、托养对象突发疾病等）的应对预案可行性强的，得3分；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对突发性事件（火灾、流行性疾病、停水停电、信访、集访、托养走失、投诉、托养对象突发疾病等）的应对预案可行性的，得2分；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对突发性事件（火灾、流行性疾病、停水停电、信访、集访、托养走失、投诉、托养对象突发疾病等）的应对预案可行性一般的，得1分。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bl>
    <w:p>
      <w:pPr>
        <w:ind w:firstLine="482"/>
        <w:jc w:val="left"/>
        <w:spacing w:line="360" w:lineRule="auto"/>
        <w:rPr>
          <w:b/>
          <w:bCs/>
          <w:color w:val="auto"/>
          <w:sz w:val="24"/>
          <w:highlight w:val="none"/>
        </w:rPr>
      </w:pPr>
      <w:r>
        <w:rPr>
          <w:rFonts w:hint="eastAsia"/>
          <w:b/>
          <w:bCs/>
          <w:color w:val="auto"/>
          <w:sz w:val="24"/>
          <w:highlight w:val="none"/>
        </w:rPr>
        <w:t xml:space="preserve">备注：</w:t>
      </w:r>
      <w:r/>
    </w:p>
    <w:p>
      <w:pPr>
        <w:ind w:firstLine="482"/>
        <w:jc w:val="left"/>
        <w:spacing w:line="360" w:lineRule="auto"/>
        <w:rPr>
          <w:b/>
          <w:bCs/>
          <w:color w:val="auto"/>
          <w:sz w:val="24"/>
          <w:highlight w:val="none"/>
        </w:rPr>
      </w:pPr>
      <w:r>
        <w:rPr>
          <w:rFonts w:hint="eastAsia"/>
          <w:b/>
          <w:bCs/>
          <w:color w:val="auto"/>
          <w:sz w:val="24"/>
          <w:highlight w:val="none"/>
        </w:rPr>
        <w:t xml:space="preserve">1.针对评分标准中评分的每一条，响应单位均应提供相关资料并作出相应说明供评委评判，不提供相关资料的视为不具备该项得分的条件。</w:t>
      </w:r>
      <w:r/>
    </w:p>
    <w:p>
      <w:pPr>
        <w:ind w:firstLine="482"/>
        <w:jc w:val="left"/>
        <w:spacing w:line="360" w:lineRule="auto"/>
        <w:rPr>
          <w:b/>
          <w:bCs/>
          <w:color w:val="auto"/>
          <w:sz w:val="24"/>
          <w:highlight w:val="none"/>
        </w:rPr>
      </w:pPr>
      <w:r>
        <w:rPr>
          <w:rFonts w:hint="eastAsia"/>
          <w:b/>
          <w:bCs/>
          <w:color w:val="auto"/>
          <w:sz w:val="24"/>
          <w:highlight w:val="none"/>
        </w:rPr>
        <w:t xml:space="preserve">2.响应单位必须保证全部响应资料的真实性，如有虚假或对采购文件所要求说明的情况故意隐瞒或虚报，视为不实质性响应采购文件，为无效响应，已成交的将取消成交资格，按“提供虚假材料谋取中标、成交”相关处理办法处理。</w:t>
      </w:r>
      <w:r/>
    </w:p>
    <w:p>
      <w:pPr>
        <w:ind w:firstLine="482"/>
        <w:jc w:val="left"/>
        <w:spacing w:line="360" w:lineRule="auto"/>
        <w:rPr>
          <w:b/>
          <w:bCs/>
          <w:color w:val="auto"/>
          <w:sz w:val="24"/>
          <w:highlight w:val="none"/>
        </w:rPr>
      </w:pPr>
      <w:r>
        <w:rPr>
          <w:rFonts w:hint="eastAsia"/>
          <w:b/>
          <w:bCs/>
          <w:color w:val="auto"/>
          <w:sz w:val="24"/>
          <w:highlight w:val="none"/>
        </w:rPr>
        <w:t xml:space="preserve">3.响应单位文件中须提供以上资料（原件扫描件），签订合同前采购人有权核查上述资料真实性。</w:t>
      </w:r>
      <w:r/>
    </w:p>
    <w:p>
      <w:pPr>
        <w:jc w:val="left"/>
        <w:spacing w:line="360" w:lineRule="auto"/>
        <w:rPr>
          <w:b/>
          <w:bCs/>
          <w:color w:val="auto"/>
          <w:sz w:val="24"/>
          <w:highlight w:val="none"/>
        </w:rPr>
      </w:pPr>
      <w:r>
        <w:rPr>
          <w:rFonts w:hint="eastAsia"/>
          <w:b/>
          <w:bCs/>
          <w:color w:val="auto"/>
          <w:sz w:val="24"/>
          <w:highlight w:val="none"/>
        </w:rPr>
        <w:t xml:space="preserve">五、成交标准</w:t>
      </w:r>
      <w:r/>
    </w:p>
    <w:p>
      <w:pPr>
        <w:ind w:firstLine="480"/>
        <w:jc w:val="left"/>
        <w:spacing w:line="360" w:lineRule="auto"/>
        <w:rPr>
          <w:color w:val="auto"/>
          <w:sz w:val="24"/>
          <w:highlight w:val="none"/>
        </w:rPr>
        <w:sectPr>
          <w:footnotePr/>
          <w:endnotePr/>
          <w:type w:val="nextPage"/>
          <w:pgSz w:w="11906" w:h="16838" w:orient="portrait"/>
          <w:pgMar w:top="1440" w:right="1134" w:bottom="1440" w:left="1423" w:header="851" w:footer="510" w:gutter="0"/>
          <w:cols w:num="1" w:sep="0" w:space="0" w:equalWidth="1"/>
          <w:docGrid w:linePitch="360"/>
          <w:titlePg/>
        </w:sectPr>
      </w:pPr>
      <w:r>
        <w:rPr>
          <w:rFonts w:hint="eastAsia"/>
          <w:color w:val="auto"/>
          <w:sz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二轮（最后）报价由低到高的顺序推荐。评审得分且二轮（最后）报价相同的，按照技术指标优劣顺序顺序推荐。</w:t>
      </w:r>
      <w:r/>
    </w:p>
    <w:p>
      <w:pPr>
        <w:rPr>
          <w:color w:val="auto"/>
          <w:highlight w:val="none"/>
        </w:rPr>
      </w:pPr>
      <w:r/>
      <w:bookmarkStart w:id="49" w:name="_Toc465856616"/>
      <w:r/>
      <w:bookmarkStart w:id="50" w:name="_Toc2728"/>
      <w:r/>
      <w:bookmarkStart w:id="51" w:name="_Toc29155"/>
      <w:r/>
      <w:r/>
    </w:p>
    <w:p>
      <w:pPr>
        <w:pStyle w:val="867"/>
        <w:rPr>
          <w:rFonts w:ascii="Times New Roman" w:hAnsi="Times New Roman"/>
          <w:color w:val="auto"/>
          <w:sz w:val="36"/>
          <w:szCs w:val="36"/>
          <w:highlight w:val="none"/>
        </w:rPr>
      </w:pPr>
      <w:r/>
      <w:bookmarkStart w:id="52" w:name="_Toc14682"/>
      <w:r/>
      <w:bookmarkStart w:id="53" w:name="_Toc23052"/>
      <w:r>
        <w:rPr>
          <w:rFonts w:ascii="Times New Roman" w:hAnsi="Times New Roman"/>
          <w:color w:val="auto"/>
          <w:sz w:val="36"/>
          <w:szCs w:val="36"/>
          <w:highlight w:val="none"/>
        </w:rPr>
        <w:t xml:space="preserve">第六章 响应文件格式</w:t>
      </w:r>
      <w:bookmarkEnd w:id="42"/>
      <w:r/>
      <w:bookmarkEnd w:id="43"/>
      <w:r/>
      <w:bookmarkEnd w:id="44"/>
      <w:r/>
      <w:bookmarkEnd w:id="49"/>
      <w:r/>
      <w:bookmarkEnd w:id="50"/>
      <w:r/>
      <w:bookmarkEnd w:id="51"/>
      <w:r/>
      <w:bookmarkEnd w:id="52"/>
      <w:r/>
      <w:bookmarkEnd w:id="53"/>
      <w:r/>
      <w:r/>
    </w:p>
    <w:p>
      <w:pPr>
        <w:pStyle w:val="888"/>
        <w:ind w:left="1874" w:right="1470" w:firstLine="0"/>
        <w:rPr>
          <w:rFonts w:ascii="Times New Roman" w:hAnsi="Times New Roman"/>
          <w:color w:val="auto"/>
          <w:highlight w:val="none"/>
        </w:rPr>
      </w:pPr>
      <w:r>
        <w:rPr>
          <w:rFonts w:ascii="Times New Roman" w:hAnsi="Times New Roman"/>
          <w:color w:val="auto"/>
          <w:highlight w:val="none"/>
        </w:rPr>
      </w:r>
      <w:r/>
    </w:p>
    <w:p>
      <w:pPr>
        <w:jc w:val="center"/>
        <w:rPr>
          <w:b/>
          <w:color w:val="auto"/>
          <w:sz w:val="56"/>
          <w:szCs w:val="48"/>
          <w:highlight w:val="none"/>
        </w:rPr>
      </w:pPr>
      <w:r>
        <w:rPr>
          <w:b/>
          <w:color w:val="auto"/>
          <w:sz w:val="56"/>
          <w:szCs w:val="48"/>
          <w:highlight w:val="none"/>
        </w:rPr>
      </w:r>
      <w:r/>
    </w:p>
    <w:p>
      <w:pPr>
        <w:jc w:val="center"/>
        <w:rPr>
          <w:b/>
          <w:color w:val="auto"/>
          <w:sz w:val="72"/>
          <w:szCs w:val="21"/>
          <w:highlight w:val="none"/>
        </w:rPr>
      </w:pPr>
      <w:r>
        <w:rPr>
          <w:b/>
          <w:color w:val="auto"/>
          <w:sz w:val="72"/>
          <w:szCs w:val="21"/>
          <w:highlight w:val="none"/>
        </w:rPr>
      </w:r>
      <w:r/>
    </w:p>
    <w:p>
      <w:pPr>
        <w:jc w:val="center"/>
        <w:rPr>
          <w:rFonts w:hint="eastAsia" w:eastAsia="宋体"/>
          <w:b/>
          <w:color w:val="auto"/>
          <w:sz w:val="72"/>
          <w:szCs w:val="21"/>
          <w:highlight w:val="none"/>
          <w:lang w:val="en-US" w:eastAsia="zh-CN"/>
        </w:rPr>
      </w:pPr>
      <w:r>
        <w:rPr>
          <w:b/>
          <w:color w:val="auto"/>
          <w:sz w:val="72"/>
          <w:szCs w:val="21"/>
          <w:highlight w:val="none"/>
        </w:rPr>
        <w:t xml:space="preserve">响应文件</w:t>
      </w:r>
      <w:r/>
    </w:p>
    <w:p>
      <w:pPr>
        <w:ind w:firstLine="643"/>
        <w:jc w:val="center"/>
        <w:rPr>
          <w:b/>
          <w:color w:val="auto"/>
          <w:sz w:val="32"/>
          <w:szCs w:val="32"/>
          <w:highlight w:val="none"/>
        </w:rPr>
      </w:pPr>
      <w:r>
        <w:rPr>
          <w:b/>
          <w:color w:val="auto"/>
          <w:sz w:val="32"/>
          <w:szCs w:val="32"/>
          <w:highlight w:val="none"/>
        </w:rPr>
      </w:r>
      <w:r/>
    </w:p>
    <w:p>
      <w:pPr>
        <w:ind w:firstLine="643"/>
        <w:jc w:val="center"/>
        <w:rPr>
          <w:b/>
          <w:color w:val="auto"/>
          <w:sz w:val="32"/>
          <w:szCs w:val="32"/>
          <w:highlight w:val="none"/>
        </w:rPr>
      </w:pPr>
      <w:r>
        <w:rPr>
          <w:b/>
          <w:color w:val="auto"/>
          <w:sz w:val="32"/>
          <w:szCs w:val="32"/>
          <w:highlight w:val="none"/>
        </w:rPr>
      </w:r>
      <w:r/>
    </w:p>
    <w:p>
      <w:pPr>
        <w:pStyle w:val="884"/>
        <w:rPr>
          <w:b/>
          <w:color w:val="auto"/>
          <w:sz w:val="32"/>
          <w:szCs w:val="32"/>
          <w:highlight w:val="none"/>
        </w:rPr>
      </w:pPr>
      <w:r>
        <w:rPr>
          <w:b/>
          <w:color w:val="auto"/>
          <w:sz w:val="32"/>
          <w:szCs w:val="32"/>
          <w:highlight w:val="none"/>
        </w:rPr>
      </w:r>
      <w:r/>
    </w:p>
    <w:p>
      <w:pPr>
        <w:pStyle w:val="885"/>
        <w:rPr>
          <w:b/>
          <w:color w:val="auto"/>
          <w:sz w:val="32"/>
          <w:szCs w:val="32"/>
          <w:highlight w:val="none"/>
        </w:rPr>
      </w:pPr>
      <w:r>
        <w:rPr>
          <w:b/>
          <w:color w:val="auto"/>
          <w:sz w:val="32"/>
          <w:szCs w:val="32"/>
          <w:highlight w:val="none"/>
        </w:rPr>
      </w:r>
      <w:r/>
    </w:p>
    <w:p>
      <w:pPr>
        <w:pStyle w:val="885"/>
        <w:rPr>
          <w:b/>
          <w:color w:val="auto"/>
          <w:sz w:val="32"/>
          <w:szCs w:val="32"/>
          <w:highlight w:val="none"/>
        </w:rPr>
      </w:pPr>
      <w:r>
        <w:rPr>
          <w:b/>
          <w:color w:val="auto"/>
          <w:sz w:val="32"/>
          <w:szCs w:val="32"/>
          <w:highlight w:val="none"/>
        </w:rPr>
      </w:r>
      <w:r/>
    </w:p>
    <w:p>
      <w:pPr>
        <w:pStyle w:val="885"/>
        <w:rPr>
          <w:b/>
          <w:color w:val="auto"/>
          <w:sz w:val="32"/>
          <w:szCs w:val="32"/>
          <w:highlight w:val="none"/>
        </w:rPr>
      </w:pPr>
      <w:r>
        <w:rPr>
          <w:b/>
          <w:color w:val="auto"/>
          <w:sz w:val="32"/>
          <w:szCs w:val="32"/>
          <w:highlight w:val="none"/>
        </w:rPr>
      </w:r>
      <w:r/>
    </w:p>
    <w:p>
      <w:pPr>
        <w:pStyle w:val="885"/>
        <w:rPr>
          <w:b/>
          <w:color w:val="auto"/>
          <w:sz w:val="32"/>
          <w:szCs w:val="32"/>
          <w:highlight w:val="none"/>
        </w:rPr>
      </w:pPr>
      <w:r>
        <w:rPr>
          <w:b/>
          <w:color w:val="auto"/>
          <w:sz w:val="32"/>
          <w:szCs w:val="32"/>
          <w:highlight w:val="none"/>
        </w:rPr>
      </w:r>
      <w:r/>
    </w:p>
    <w:p>
      <w:pPr>
        <w:ind w:firstLine="643"/>
        <w:jc w:val="center"/>
        <w:rPr>
          <w:b/>
          <w:color w:val="auto"/>
          <w:sz w:val="32"/>
          <w:szCs w:val="32"/>
          <w:highlight w:val="none"/>
        </w:rPr>
      </w:pPr>
      <w:r>
        <w:rPr>
          <w:b/>
          <w:color w:val="auto"/>
          <w:sz w:val="32"/>
          <w:szCs w:val="32"/>
          <w:highlight w:val="none"/>
        </w:rPr>
      </w:r>
      <w:r/>
    </w:p>
    <w:p>
      <w:pPr>
        <w:pStyle w:val="912"/>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rPr>
        <w:t xml:space="preserve">项目名称：</w:t>
      </w:r>
      <w:r>
        <w:rPr>
          <w:rFonts w:ascii="Times New Roman" w:hAnsi="Times New Roman" w:cs="Times New Roman"/>
          <w:b/>
          <w:color w:val="auto"/>
          <w:sz w:val="32"/>
          <w:szCs w:val="32"/>
          <w:highlight w:val="none"/>
          <w:u w:val="single"/>
        </w:rPr>
        <w:t xml:space="preserve">                    </w:t>
      </w:r>
      <w:r/>
    </w:p>
    <w:p>
      <w:pPr>
        <w:pStyle w:val="912"/>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rPr>
        <w:t xml:space="preserve">项目编号：</w:t>
      </w:r>
      <w:r>
        <w:rPr>
          <w:rFonts w:ascii="Times New Roman" w:hAnsi="Times New Roman" w:cs="Times New Roman"/>
          <w:b/>
          <w:color w:val="auto"/>
          <w:sz w:val="32"/>
          <w:szCs w:val="32"/>
          <w:highlight w:val="none"/>
          <w:u w:val="single"/>
        </w:rPr>
        <w:t xml:space="preserve">                    </w:t>
      </w:r>
      <w:r/>
    </w:p>
    <w:p>
      <w:pPr>
        <w:pStyle w:val="912"/>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u w:val="single"/>
        </w:rPr>
      </w:r>
      <w:r/>
    </w:p>
    <w:p>
      <w:pPr>
        <w:pStyle w:val="912"/>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u w:val="single"/>
        </w:rPr>
      </w:r>
      <w:r/>
    </w:p>
    <w:p>
      <w:pPr>
        <w:pStyle w:val="912"/>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u w:val="single"/>
        </w:rPr>
      </w:r>
      <w:r/>
    </w:p>
    <w:p>
      <w:pPr>
        <w:pStyle w:val="912"/>
        <w:ind w:firstLine="1749"/>
        <w:jc w:val="both"/>
        <w:spacing w:line="480" w:lineRule="atLeast"/>
        <w:rPr>
          <w:rFonts w:ascii="Times New Roman" w:hAnsi="Times New Roman" w:cs="Times New Roman"/>
          <w:b/>
          <w:bCs/>
          <w:color w:val="auto"/>
          <w:sz w:val="36"/>
          <w:szCs w:val="36"/>
          <w:highlight w:val="none"/>
          <w:u w:val="single"/>
        </w:rPr>
      </w:pPr>
      <w:r>
        <w:rPr>
          <w:rFonts w:ascii="Times New Roman" w:hAnsi="Times New Roman" w:cs="Times New Roman"/>
          <w:b/>
          <w:color w:val="auto"/>
          <w:sz w:val="32"/>
          <w:szCs w:val="32"/>
          <w:highlight w:val="none"/>
        </w:rPr>
        <w:t xml:space="preserve">供应商名称：</w:t>
      </w:r>
      <w:r>
        <w:rPr>
          <w:rFonts w:ascii="Times New Roman" w:hAnsi="Times New Roman" w:cs="Times New Roman"/>
          <w:b/>
          <w:bCs/>
          <w:color w:val="auto"/>
          <w:sz w:val="36"/>
          <w:szCs w:val="36"/>
          <w:highlight w:val="none"/>
          <w:u w:val="single"/>
        </w:rPr>
        <w:t xml:space="preserve">（加盖CA电子公章）</w:t>
      </w:r>
      <w:r/>
    </w:p>
    <w:p>
      <w:pPr>
        <w:pStyle w:val="912"/>
        <w:ind w:firstLine="1749"/>
        <w:jc w:val="both"/>
        <w:spacing w:line="480" w:lineRule="atLeast"/>
        <w:rPr>
          <w:rFonts w:ascii="Times New Roman" w:hAnsi="Times New Roman" w:cs="Times New Roman"/>
          <w:color w:val="auto"/>
          <w:sz w:val="36"/>
          <w:highlight w:val="none"/>
        </w:rPr>
      </w:pPr>
      <w:r>
        <w:rPr>
          <w:rFonts w:ascii="Times New Roman" w:hAnsi="Times New Roman" w:cs="Times New Roman"/>
          <w:b/>
          <w:color w:val="auto"/>
          <w:sz w:val="32"/>
          <w:szCs w:val="32"/>
          <w:highlight w:val="none"/>
        </w:rPr>
        <w:t xml:space="preserve">日期 ：</w:t>
      </w:r>
      <w:r>
        <w:rPr>
          <w:rFonts w:ascii="Times New Roman" w:hAnsi="Times New Roman" w:cs="Times New Roman"/>
          <w:b/>
          <w:color w:val="auto"/>
          <w:sz w:val="32"/>
          <w:szCs w:val="32"/>
          <w:highlight w:val="none"/>
          <w:u w:val="single"/>
        </w:rPr>
        <w:t xml:space="preserve">                    </w:t>
      </w:r>
      <w:r/>
    </w:p>
    <w:p>
      <w:pPr>
        <w:pStyle w:val="1129"/>
        <w:ind w:firstLine="0"/>
        <w:spacing w:before="0" w:after="0"/>
        <w:rPr>
          <w:rFonts w:ascii="Times New Roman" w:hAnsi="Times New Roman"/>
          <w:color w:val="auto"/>
          <w:highlight w:val="none"/>
        </w:rPr>
      </w:pPr>
      <w:r>
        <w:rPr>
          <w:rFonts w:ascii="Times New Roman" w:hAnsi="Times New Roman"/>
          <w:color w:val="auto"/>
          <w:highlight w:val="none"/>
        </w:rPr>
      </w:r>
      <w:r/>
    </w:p>
    <w:p>
      <w:pPr>
        <w:pStyle w:val="1129"/>
        <w:ind w:firstLine="0"/>
        <w:spacing w:before="0" w:after="0"/>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iCs/>
          <w:color w:val="auto"/>
          <w:sz w:val="36"/>
          <w:szCs w:val="36"/>
          <w:highlight w:val="none"/>
          <w:u w:val="single"/>
        </w:rPr>
        <w:outlineLvl w:val="1"/>
      </w:pPr>
      <w:r>
        <w:rPr>
          <w:iCs/>
          <w:color w:val="auto"/>
          <w:sz w:val="36"/>
          <w:szCs w:val="36"/>
          <w:highlight w:val="none"/>
          <w:u w:val="single"/>
        </w:rPr>
        <w:t xml:space="preserve">一、法人或者其他组织的营业执照等证明文件，自然人的身份证明</w:t>
      </w:r>
      <w:r/>
    </w:p>
    <w:p>
      <w:pPr>
        <w:rPr>
          <w:i/>
          <w:color w:val="auto"/>
          <w:sz w:val="36"/>
          <w:szCs w:val="22"/>
          <w:highlight w:val="none"/>
          <w:u w:val="single"/>
        </w:rPr>
      </w:pPr>
      <w:r>
        <w:rPr>
          <w:i/>
          <w:color w:val="auto"/>
          <w:sz w:val="36"/>
          <w:szCs w:val="22"/>
          <w:highlight w:val="none"/>
          <w:u w:val="single"/>
        </w:rPr>
        <w:br w:type="page" w:clear="all"/>
      </w:r>
      <w:r/>
    </w:p>
    <w:p>
      <w:pPr>
        <w:jc w:val="left"/>
        <w:keepLines/>
        <w:keepNext/>
        <w:spacing w:before="360" w:after="200" w:line="360" w:lineRule="auto"/>
        <w:rPr>
          <w:iCs/>
          <w:color w:val="auto"/>
          <w:sz w:val="36"/>
          <w:szCs w:val="22"/>
          <w:highlight w:val="none"/>
          <w:u w:val="single"/>
        </w:rPr>
        <w:outlineLvl w:val="1"/>
      </w:pPr>
      <w:r>
        <w:rPr>
          <w:iCs/>
          <w:color w:val="auto"/>
          <w:sz w:val="36"/>
          <w:szCs w:val="22"/>
          <w:highlight w:val="none"/>
          <w:u w:val="single"/>
        </w:rPr>
        <w:t xml:space="preserve">二、上一年度的财务状况报告</w:t>
      </w:r>
      <w:r/>
    </w:p>
    <w:p>
      <w:pPr>
        <w:ind w:firstLine="480"/>
        <w:jc w:val="left"/>
        <w:spacing w:line="500" w:lineRule="exact"/>
        <w:rPr>
          <w:rFonts w:eastAsia="Arial"/>
          <w:color w:val="auto"/>
          <w:sz w:val="24"/>
          <w:highlight w:val="none"/>
        </w:rPr>
      </w:pPr>
      <w:r>
        <w:rPr>
          <w:rFonts w:eastAsia="Arial"/>
          <w:color w:val="auto"/>
          <w:sz w:val="24"/>
          <w:highlight w:val="none"/>
        </w:rPr>
        <w:t xml:space="preserve">（成立不满一年无需提供）</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三、依法缴纳税收和社会保障资金的相关材料</w:t>
      </w:r>
      <w:r/>
    </w:p>
    <w:p>
      <w:pPr>
        <w:ind w:firstLine="480"/>
        <w:jc w:val="left"/>
        <w:spacing w:line="500" w:lineRule="exact"/>
        <w:rPr>
          <w:rFonts w:eastAsia="Arial"/>
          <w:color w:val="auto"/>
          <w:sz w:val="24"/>
          <w:highlight w:val="none"/>
        </w:rPr>
      </w:pPr>
      <w:r>
        <w:rPr>
          <w:rFonts w:eastAsia="Arial"/>
          <w:color w:val="auto"/>
          <w:sz w:val="24"/>
          <w:highlight w:val="none"/>
        </w:rPr>
        <w:t xml:space="preserve">（</w:t>
      </w:r>
      <w:r>
        <w:rPr>
          <w:rFonts w:hint="eastAsia"/>
          <w:color w:val="auto"/>
          <w:sz w:val="24"/>
          <w:szCs w:val="24"/>
          <w:highlight w:val="none"/>
        </w:rPr>
        <w:t xml:space="preserve">提供提交</w:t>
      </w:r>
      <w:r>
        <w:rPr>
          <w:rFonts w:hint="eastAsia" w:ascii="Times New Roman" w:eastAsia="宋体"/>
          <w:color w:val="auto"/>
          <w:sz w:val="24"/>
          <w:szCs w:val="24"/>
          <w:highlight w:val="none"/>
          <w:lang w:val="en-US" w:eastAsia="zh-CN"/>
        </w:rPr>
        <w:t xml:space="preserve">响应</w:t>
      </w:r>
      <w:r>
        <w:rPr>
          <w:rFonts w:hint="eastAsia"/>
          <w:color w:val="auto"/>
          <w:sz w:val="24"/>
          <w:szCs w:val="24"/>
          <w:highlight w:val="none"/>
        </w:rPr>
        <w:t xml:space="preserve">文件截止时间前一年内至少一个月依法缴纳税收及缴纳社会保障资金的证明材料，</w:t>
      </w:r>
      <w:r>
        <w:rPr>
          <w:rFonts w:hint="eastAsia" w:ascii="Times New Roman" w:eastAsia="宋体"/>
          <w:color w:val="auto"/>
          <w:sz w:val="24"/>
          <w:szCs w:val="24"/>
          <w:highlight w:val="none"/>
          <w:lang w:val="en-US" w:eastAsia="zh-CN"/>
        </w:rPr>
        <w:t xml:space="preserve">供应商</w:t>
      </w:r>
      <w:r>
        <w:rPr>
          <w:rFonts w:hint="eastAsia"/>
          <w:color w:val="auto"/>
          <w:sz w:val="24"/>
          <w:szCs w:val="24"/>
          <w:highlight w:val="none"/>
        </w:rPr>
        <w:t xml:space="preserve">依法享受缓缴、免缴税收、社会保障资金的提供证明材料</w:t>
      </w:r>
      <w:r>
        <w:rPr>
          <w:rFonts w:eastAsia="Arial"/>
          <w:color w:val="auto"/>
          <w:sz w:val="24"/>
          <w:highlight w:val="none"/>
        </w:rPr>
        <w:t xml:space="preserve">）</w:t>
      </w:r>
      <w:r/>
    </w:p>
    <w:p>
      <w:pPr>
        <w:rPr>
          <w:rFonts w:eastAsia="Arial"/>
          <w:color w:val="auto"/>
          <w:szCs w:val="22"/>
          <w:highlight w:val="none"/>
        </w:rPr>
      </w:pPr>
      <w:r>
        <w:rPr>
          <w:rFonts w:eastAsia="Arial"/>
          <w:color w:val="auto"/>
          <w:szCs w:val="22"/>
          <w:highlight w:val="none"/>
        </w:rPr>
      </w:r>
      <w:r/>
    </w:p>
    <w:p>
      <w:pPr>
        <w:rPr>
          <w:rFonts w:eastAsia="Arial"/>
          <w:color w:val="auto"/>
          <w:szCs w:val="22"/>
          <w:highlight w:val="none"/>
        </w:rPr>
      </w:pPr>
      <w:r>
        <w:rPr>
          <w:rFonts w:eastAsia="Arial"/>
          <w:color w:val="auto"/>
          <w:szCs w:val="22"/>
          <w:highlight w:val="none"/>
        </w:rPr>
      </w:r>
      <w:r/>
    </w:p>
    <w:p>
      <w:pPr>
        <w:jc w:val="center"/>
        <w:spacing w:line="360" w:lineRule="auto"/>
        <w:rPr>
          <w:rFonts w:eastAsia="黑体"/>
          <w:bCs/>
          <w:color w:val="auto"/>
          <w:sz w:val="36"/>
          <w:szCs w:val="28"/>
          <w:highlight w:val="none"/>
        </w:rPr>
      </w:pPr>
      <w:r>
        <w:rPr>
          <w:rFonts w:eastAsia="黑体"/>
          <w:bCs/>
          <w:color w:val="auto"/>
          <w:sz w:val="36"/>
          <w:szCs w:val="28"/>
          <w:highlight w:val="none"/>
        </w:rPr>
        <w:t xml:space="preserve">财务状况报告及税收、社会保障资金缴纳情况承诺函</w:t>
      </w:r>
      <w:r/>
    </w:p>
    <w:p>
      <w:pPr>
        <w:jc w:val="left"/>
        <w:rPr>
          <w:color w:val="auto"/>
          <w:highlight w:val="none"/>
        </w:rPr>
      </w:pPr>
      <w:r>
        <w:rPr>
          <w:color w:val="auto"/>
          <w:highlight w:val="none"/>
        </w:rPr>
      </w:r>
      <w:r/>
    </w:p>
    <w:p>
      <w:pPr>
        <w:jc w:val="left"/>
        <w:spacing w:line="500" w:lineRule="exact"/>
        <w:rPr>
          <w:color w:val="auto"/>
          <w:sz w:val="24"/>
          <w:highlight w:val="none"/>
        </w:rPr>
      </w:pPr>
      <w:r>
        <w:rPr>
          <w:color w:val="auto"/>
          <w:sz w:val="24"/>
          <w:highlight w:val="none"/>
        </w:rPr>
        <w:t xml:space="preserve">致：</w:t>
      </w:r>
      <w:r>
        <w:rPr>
          <w:i/>
          <w:color w:val="auto"/>
          <w:sz w:val="24"/>
          <w:highlight w:val="none"/>
          <w:u w:val="single"/>
        </w:rPr>
        <w:t xml:space="preserve">采购人名称</w:t>
      </w:r>
      <w:r/>
    </w:p>
    <w:p>
      <w:pPr>
        <w:ind w:firstLine="480"/>
        <w:jc w:val="left"/>
        <w:spacing w:line="500" w:lineRule="exact"/>
        <w:rPr>
          <w:color w:val="auto"/>
          <w:sz w:val="24"/>
          <w:highlight w:val="none"/>
        </w:rPr>
      </w:pPr>
      <w:r>
        <w:rPr>
          <w:i w:val="0"/>
          <w:iCs w:val="0"/>
          <w:color w:val="auto"/>
          <w:sz w:val="24"/>
          <w:highlight w:val="none"/>
        </w:rPr>
        <w:t xml:space="preserve">我方</w:t>
      </w:r>
      <w:r>
        <w:rPr>
          <w:rFonts w:eastAsia="Arial"/>
          <w:i w:val="0"/>
          <w:iCs w:val="0"/>
          <w:color w:val="auto"/>
          <w:sz w:val="24"/>
          <w:highlight w:val="none"/>
          <w:u w:val="single"/>
        </w:rPr>
        <w:t xml:space="preserve">供应商</w:t>
      </w:r>
      <w:r>
        <w:rPr>
          <w:i w:val="0"/>
          <w:iCs w:val="0"/>
          <w:color w:val="auto"/>
          <w:sz w:val="24"/>
          <w:highlight w:val="none"/>
          <w:u w:val="single"/>
        </w:rPr>
        <w:t xml:space="preserve">名称</w:t>
      </w:r>
      <w:r>
        <w:rPr>
          <w:i w:val="0"/>
          <w:iCs w:val="0"/>
          <w:color w:val="auto"/>
          <w:sz w:val="24"/>
          <w:highlight w:val="none"/>
        </w:rPr>
        <w:t xml:space="preserve">参加</w:t>
      </w:r>
      <w:r>
        <w:rPr>
          <w:i w:val="0"/>
          <w:iCs w:val="0"/>
          <w:color w:val="auto"/>
          <w:sz w:val="24"/>
          <w:highlight w:val="none"/>
          <w:u w:val="single"/>
        </w:rPr>
        <w:t xml:space="preserve">项目名称</w:t>
      </w:r>
      <w:r>
        <w:rPr>
          <w:i w:val="0"/>
          <w:iCs w:val="0"/>
          <w:color w:val="auto"/>
          <w:sz w:val="24"/>
          <w:highlight w:val="none"/>
        </w:rPr>
        <w:t xml:space="preserve">（项目编号：</w:t>
      </w:r>
      <w:r>
        <w:rPr>
          <w:i w:val="0"/>
          <w:iCs w:val="0"/>
          <w:color w:val="auto"/>
          <w:sz w:val="24"/>
          <w:highlight w:val="none"/>
          <w:u w:val="single"/>
        </w:rPr>
        <w:t xml:space="preserve">项目编号</w:t>
      </w:r>
      <w:r>
        <w:rPr>
          <w:i w:val="0"/>
          <w:iCs w:val="0"/>
          <w:color w:val="auto"/>
          <w:sz w:val="24"/>
          <w:highlight w:val="none"/>
        </w:rPr>
        <w:t xml:space="preserve">）采购，根据</w:t>
      </w:r>
      <w:r>
        <w:rPr>
          <w:color w:val="auto"/>
          <w:sz w:val="24"/>
          <w:highlight w:val="none"/>
        </w:rPr>
        <w:t xml:space="preserve">《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color w:val="auto"/>
          <w:sz w:val="24"/>
          <w:highlight w:val="none"/>
        </w:rPr>
      </w:pPr>
      <w:r>
        <w:rPr>
          <w:color w:val="auto"/>
          <w:sz w:val="24"/>
          <w:highlight w:val="none"/>
        </w:rPr>
        <w:t xml:space="preserve">（1）具有良好的商业信誉和健全的财务会计制度（财务状况报告）；</w:t>
      </w:r>
      <w:r/>
    </w:p>
    <w:p>
      <w:pPr>
        <w:ind w:firstLine="480"/>
        <w:jc w:val="left"/>
        <w:spacing w:line="500" w:lineRule="exact"/>
        <w:rPr>
          <w:color w:val="auto"/>
          <w:sz w:val="24"/>
          <w:highlight w:val="none"/>
        </w:rPr>
      </w:pPr>
      <w:r>
        <w:rPr>
          <w:color w:val="auto"/>
          <w:sz w:val="24"/>
          <w:highlight w:val="none"/>
        </w:rPr>
        <w:t xml:space="preserve">（2）有依法缴纳税收和社会保障资金的良好记录。</w:t>
      </w:r>
      <w:r/>
    </w:p>
    <w:p>
      <w:pPr>
        <w:ind w:firstLine="480"/>
        <w:jc w:val="left"/>
        <w:spacing w:line="500" w:lineRule="exact"/>
        <w:rPr>
          <w:color w:val="auto"/>
          <w:sz w:val="24"/>
          <w:highlight w:val="none"/>
        </w:rPr>
      </w:pPr>
      <w:r>
        <w:rPr>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eastAsia="宋体"/>
          <w:color w:val="auto"/>
          <w:sz w:val="24"/>
          <w:highlight w:val="none"/>
          <w:lang w:eastAsia="zh-CN"/>
        </w:rPr>
      </w:pPr>
      <w:r>
        <w:rPr>
          <w:color w:val="auto"/>
          <w:sz w:val="24"/>
          <w:highlight w:val="none"/>
        </w:rPr>
        <w:t xml:space="preserve">特此承诺</w:t>
      </w:r>
      <w:r>
        <w:rPr>
          <w:rFonts w:hint="eastAsia"/>
          <w:color w:val="auto"/>
          <w:sz w:val="24"/>
          <w:highlight w:val="none"/>
          <w:lang w:eastAsia="zh-CN"/>
        </w:rPr>
        <w:t xml:space="preserve">。</w:t>
      </w:r>
      <w:r/>
    </w:p>
    <w:p>
      <w:pPr>
        <w:ind w:firstLine="480"/>
        <w:jc w:val="left"/>
        <w:spacing w:line="500" w:lineRule="exact"/>
        <w:rPr>
          <w:color w:val="auto"/>
          <w:sz w:val="24"/>
          <w:highlight w:val="none"/>
        </w:rPr>
      </w:pPr>
      <w:r>
        <w:rPr>
          <w:color w:val="auto"/>
          <w:sz w:val="24"/>
          <w:highlight w:val="none"/>
        </w:rPr>
      </w:r>
      <w:r/>
    </w:p>
    <w:p>
      <w:pPr>
        <w:ind w:firstLine="480"/>
        <w:jc w:val="left"/>
        <w:spacing w:line="500" w:lineRule="exact"/>
        <w:rPr>
          <w:color w:val="auto"/>
          <w:sz w:val="24"/>
          <w:highlight w:val="none"/>
        </w:rPr>
      </w:pPr>
      <w:r>
        <w:rPr>
          <w:color w:val="auto"/>
          <w:sz w:val="24"/>
          <w:highlight w:val="none"/>
        </w:rPr>
        <w:t xml:space="preserve">供应商（公章）：</w:t>
      </w:r>
      <w:r/>
    </w:p>
    <w:p>
      <w:pPr>
        <w:ind w:firstLine="480"/>
        <w:jc w:val="left"/>
        <w:spacing w:line="500" w:lineRule="exact"/>
        <w:rPr>
          <w:color w:val="auto"/>
          <w:sz w:val="24"/>
          <w:highlight w:val="none"/>
        </w:rPr>
      </w:pPr>
      <w:r>
        <w:rPr>
          <w:color w:val="auto"/>
          <w:sz w:val="24"/>
          <w:highlight w:val="none"/>
        </w:rPr>
        <w:t xml:space="preserve">法定代表人（单位负责人）或委托代理人（签名或签章）：</w:t>
      </w:r>
      <w:r/>
    </w:p>
    <w:p>
      <w:pPr>
        <w:ind w:firstLine="480"/>
        <w:jc w:val="left"/>
        <w:spacing w:line="500" w:lineRule="exact"/>
        <w:rPr>
          <w:color w:val="auto"/>
          <w:sz w:val="24"/>
          <w:highlight w:val="none"/>
        </w:rPr>
      </w:pPr>
      <w:r>
        <w:rPr>
          <w:color w:val="auto"/>
          <w:sz w:val="24"/>
          <w:highlight w:val="none"/>
        </w:rPr>
        <w:t xml:space="preserve">日期：    年     月     日</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四、具备履行合同所必需的设备和专业技术能力的声明及证明材料</w:t>
      </w:r>
      <w:r/>
    </w:p>
    <w:p>
      <w:pPr>
        <w:jc w:val="center"/>
        <w:spacing w:line="460" w:lineRule="exact"/>
        <w:rPr>
          <w:rFonts w:eastAsia="黑体"/>
          <w:bCs/>
          <w:color w:val="auto"/>
          <w:sz w:val="36"/>
          <w:szCs w:val="28"/>
          <w:highlight w:val="none"/>
        </w:rPr>
      </w:pPr>
      <w:r>
        <w:rPr>
          <w:rFonts w:eastAsia="黑体"/>
          <w:bCs/>
          <w:color w:val="auto"/>
          <w:sz w:val="36"/>
          <w:szCs w:val="28"/>
          <w:highlight w:val="none"/>
        </w:rPr>
        <w:t xml:space="preserve">具备履行合同所必需的设备和专业技术能力的</w:t>
      </w:r>
      <w:r/>
    </w:p>
    <w:p>
      <w:pPr>
        <w:jc w:val="center"/>
        <w:spacing w:line="460" w:lineRule="exact"/>
        <w:rPr>
          <w:color w:val="auto"/>
          <w:sz w:val="24"/>
          <w:highlight w:val="none"/>
        </w:rPr>
      </w:pPr>
      <w:r>
        <w:rPr>
          <w:rFonts w:eastAsia="黑体"/>
          <w:bCs/>
          <w:color w:val="auto"/>
          <w:sz w:val="36"/>
          <w:szCs w:val="28"/>
          <w:highlight w:val="none"/>
        </w:rPr>
        <w:t xml:space="preserve">声明及证明材料</w:t>
      </w:r>
      <w:r/>
    </w:p>
    <w:p>
      <w:pPr>
        <w:ind w:firstLine="480"/>
        <w:jc w:val="left"/>
        <w:keepLines w:val="0"/>
        <w:keepNext w:val="0"/>
        <w:pageBreakBefore w:val="0"/>
        <w:spacing w:line="360" w:lineRule="auto"/>
        <w:widowControl w:val="off"/>
        <w:rPr>
          <w:color w:val="auto"/>
          <w:sz w:val="24"/>
          <w:highlight w:val="none"/>
        </w:rPr>
      </w:pPr>
      <w:r>
        <w:rPr>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keepLines w:val="0"/>
        <w:keepNext w:val="0"/>
        <w:pageBreakBefore w:val="0"/>
        <w:spacing w:line="360" w:lineRule="auto"/>
        <w:widowControl w:val="off"/>
        <w:rPr>
          <w:color w:val="auto"/>
          <w:sz w:val="24"/>
          <w:highlight w:val="none"/>
        </w:rPr>
      </w:pPr>
      <w:r>
        <w:rPr>
          <w:color w:val="auto"/>
          <w:sz w:val="24"/>
          <w:highlight w:val="none"/>
        </w:rPr>
        <w:t xml:space="preserve">主要设备有：</w:t>
      </w:r>
      <w:r>
        <w:rPr>
          <w:color w:val="auto"/>
          <w:sz w:val="24"/>
          <w:highlight w:val="none"/>
          <w:u w:val="single"/>
        </w:rPr>
        <w:t xml:space="preserve">                                  </w:t>
      </w:r>
      <w:r>
        <w:rPr>
          <w:color w:val="auto"/>
          <w:sz w:val="24"/>
          <w:highlight w:val="none"/>
        </w:rPr>
        <w:t xml:space="preserve">。（须附证明材料）</w:t>
      </w:r>
      <w:r/>
    </w:p>
    <w:p>
      <w:pPr>
        <w:jc w:val="left"/>
        <w:keepLines w:val="0"/>
        <w:keepNext w:val="0"/>
        <w:pageBreakBefore w:val="0"/>
        <w:spacing w:line="360" w:lineRule="auto"/>
        <w:widowControl w:val="off"/>
        <w:rPr>
          <w:color w:val="auto"/>
          <w:sz w:val="24"/>
          <w:highlight w:val="none"/>
        </w:rPr>
      </w:pPr>
      <w:r>
        <w:rPr>
          <w:color w:val="auto"/>
          <w:sz w:val="24"/>
          <w:highlight w:val="none"/>
        </w:rPr>
      </w:r>
      <w:r/>
    </w:p>
    <w:p>
      <w:pPr>
        <w:ind w:firstLine="480"/>
        <w:keepLines w:val="0"/>
        <w:keepNext w:val="0"/>
        <w:pageBreakBefore w:val="0"/>
        <w:spacing w:line="360" w:lineRule="auto"/>
        <w:widowControl w:val="off"/>
        <w:rPr>
          <w:color w:val="auto"/>
          <w:sz w:val="24"/>
          <w:highlight w:val="none"/>
        </w:rPr>
      </w:pPr>
      <w:r>
        <w:rPr>
          <w:color w:val="auto"/>
          <w:sz w:val="24"/>
          <w:highlight w:val="none"/>
        </w:rPr>
        <w:t xml:space="preserve">主要专业技术能力有：</w:t>
      </w:r>
      <w:r>
        <w:rPr>
          <w:color w:val="auto"/>
          <w:sz w:val="24"/>
          <w:highlight w:val="none"/>
          <w:u w:val="single"/>
        </w:rPr>
        <w:t xml:space="preserve">                          </w:t>
      </w:r>
      <w:r>
        <w:rPr>
          <w:color w:val="auto"/>
          <w:sz w:val="24"/>
          <w:highlight w:val="none"/>
        </w:rPr>
        <w:t xml:space="preserve">。（须附证明材料）</w:t>
      </w:r>
      <w:r/>
    </w:p>
    <w:p>
      <w:pPr>
        <w:ind w:firstLine="480"/>
        <w:keepLines w:val="0"/>
        <w:keepNext w:val="0"/>
        <w:pageBreakBefore w:val="0"/>
        <w:spacing w:line="360" w:lineRule="auto"/>
        <w:widowControl w:val="off"/>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t xml:space="preserve">供应商（盖章）：</w:t>
      </w:r>
      <w:r/>
    </w:p>
    <w:p>
      <w:pPr>
        <w:ind w:firstLine="480"/>
        <w:spacing w:line="360" w:lineRule="auto"/>
        <w:rPr>
          <w:color w:val="auto"/>
          <w:sz w:val="24"/>
          <w:highlight w:val="none"/>
        </w:rPr>
      </w:pPr>
      <w:r>
        <w:rPr>
          <w:color w:val="auto"/>
          <w:sz w:val="24"/>
          <w:highlight w:val="none"/>
        </w:rPr>
        <w:t xml:space="preserve">法定代表人（单位负责人）或委托代理人（签字或盖章）：</w:t>
      </w:r>
      <w:r/>
    </w:p>
    <w:p>
      <w:pPr>
        <w:ind w:firstLine="480"/>
        <w:spacing w:line="360" w:lineRule="auto"/>
        <w:rPr>
          <w:color w:val="auto"/>
          <w:sz w:val="24"/>
          <w:highlight w:val="none"/>
        </w:rPr>
      </w:pPr>
      <w:r>
        <w:rPr>
          <w:color w:val="auto"/>
          <w:sz w:val="24"/>
          <w:highlight w:val="none"/>
        </w:rPr>
        <w:t xml:space="preserve">日期：    年     月     日</w:t>
      </w:r>
      <w:r/>
    </w:p>
    <w:p>
      <w:pPr>
        <w:jc w:val="left"/>
        <w:rPr>
          <w:color w:val="auto"/>
          <w:highlight w:val="none"/>
        </w:rPr>
      </w:pPr>
      <w:r>
        <w:rPr>
          <w:color w:val="auto"/>
          <w:highlight w:val="none"/>
        </w:rPr>
      </w:r>
      <w:r/>
    </w:p>
    <w:p>
      <w:pPr>
        <w:ind w:firstLine="480"/>
        <w:spacing w:line="360" w:lineRule="auto"/>
        <w:rPr>
          <w:color w:val="auto"/>
          <w:sz w:val="24"/>
          <w:highlight w:val="none"/>
        </w:rPr>
      </w:pPr>
      <w:r>
        <w:rPr>
          <w:color w:val="auto"/>
          <w:sz w:val="24"/>
          <w:highlight w:val="none"/>
        </w:rPr>
        <w:t xml:space="preserve">附主要设备和主要专业技术能力的证明材料如下：</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五、参加政府采购活动前3年内在经营活动中没有重大违法记录的书面声明</w:t>
      </w:r>
      <w:r/>
    </w:p>
    <w:p>
      <w:pPr>
        <w:jc w:val="center"/>
        <w:spacing w:line="460" w:lineRule="exact"/>
        <w:rPr>
          <w:b/>
          <w:bCs/>
          <w:color w:val="auto"/>
          <w:sz w:val="44"/>
          <w:szCs w:val="44"/>
          <w:highlight w:val="none"/>
        </w:rPr>
      </w:pPr>
      <w:r>
        <w:rPr>
          <w:rFonts w:eastAsia="黑体"/>
          <w:bCs/>
          <w:color w:val="auto"/>
          <w:sz w:val="36"/>
          <w:szCs w:val="28"/>
          <w:highlight w:val="none"/>
        </w:rPr>
        <w:t xml:space="preserve">声  明</w:t>
      </w:r>
      <w:r/>
    </w:p>
    <w:p>
      <w:pPr>
        <w:ind w:firstLine="480"/>
        <w:jc w:val="left"/>
        <w:spacing w:line="500" w:lineRule="exact"/>
        <w:rPr>
          <w:color w:val="auto"/>
          <w:sz w:val="24"/>
          <w:highlight w:val="none"/>
        </w:rPr>
      </w:pPr>
      <w:r>
        <w:rPr>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color w:val="auto"/>
          <w:sz w:val="24"/>
          <w:highlight w:val="none"/>
        </w:rPr>
      </w:pPr>
      <w:r>
        <w:rPr>
          <w:color w:val="auto"/>
          <w:sz w:val="24"/>
          <w:highlight w:val="none"/>
        </w:rPr>
      </w:r>
      <w:r/>
    </w:p>
    <w:p>
      <w:pPr>
        <w:ind w:firstLine="480"/>
        <w:jc w:val="left"/>
        <w:spacing w:line="500" w:lineRule="exact"/>
        <w:rPr>
          <w:color w:val="auto"/>
          <w:sz w:val="24"/>
          <w:highlight w:val="none"/>
        </w:rPr>
      </w:pPr>
      <w:r>
        <w:rPr>
          <w:color w:val="auto"/>
          <w:sz w:val="24"/>
          <w:highlight w:val="none"/>
        </w:rPr>
        <w:t xml:space="preserve">供应商（盖章）：</w:t>
      </w:r>
      <w:r/>
    </w:p>
    <w:p>
      <w:pPr>
        <w:ind w:firstLine="480"/>
        <w:jc w:val="left"/>
        <w:spacing w:line="500" w:lineRule="exact"/>
        <w:rPr>
          <w:color w:val="auto"/>
          <w:sz w:val="24"/>
          <w:highlight w:val="none"/>
        </w:rPr>
      </w:pPr>
      <w:r>
        <w:rPr>
          <w:color w:val="auto"/>
          <w:sz w:val="24"/>
          <w:highlight w:val="none"/>
        </w:rPr>
        <w:t xml:space="preserve">法定代表人（单位负责人）或委托代理人（签字或盖章）：</w:t>
      </w:r>
      <w:r/>
    </w:p>
    <w:p>
      <w:pPr>
        <w:ind w:firstLine="480"/>
        <w:jc w:val="left"/>
        <w:spacing w:line="500" w:lineRule="exact"/>
        <w:rPr>
          <w:color w:val="auto"/>
          <w:sz w:val="24"/>
          <w:highlight w:val="none"/>
        </w:rPr>
      </w:pPr>
      <w:r>
        <w:rPr>
          <w:color w:val="auto"/>
          <w:sz w:val="24"/>
          <w:highlight w:val="none"/>
        </w:rPr>
        <w:t xml:space="preserve">日期：    年     月     日</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六、法律、行政法规规定的其他条件的证明文件</w:t>
      </w:r>
      <w:r/>
    </w:p>
    <w:p>
      <w:pPr>
        <w:ind w:firstLine="480"/>
        <w:jc w:val="left"/>
        <w:spacing w:line="500" w:lineRule="exact"/>
        <w:rPr>
          <w:color w:val="auto"/>
          <w:sz w:val="24"/>
          <w:highlight w:val="none"/>
        </w:rPr>
      </w:pPr>
      <w:r>
        <w:rPr>
          <w:color w:val="auto"/>
          <w:sz w:val="24"/>
          <w:highlight w:val="none"/>
        </w:rPr>
        <w:t xml:space="preserve">（如有，请按要求提供）</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七、落实政府采购政策需满足的资格要求的证明文件</w:t>
      </w:r>
      <w:r/>
    </w:p>
    <w:p>
      <w:pPr>
        <w:ind w:firstLine="480"/>
        <w:jc w:val="left"/>
        <w:spacing w:line="500" w:lineRule="exact"/>
        <w:rPr>
          <w:color w:val="auto"/>
          <w:sz w:val="24"/>
          <w:highlight w:val="none"/>
        </w:rPr>
      </w:pPr>
      <w:r>
        <w:rPr>
          <w:color w:val="auto"/>
          <w:sz w:val="24"/>
          <w:highlight w:val="none"/>
        </w:rPr>
        <w:t xml:space="preserve">（如有，请按要求提供）</w:t>
      </w:r>
      <w:r/>
    </w:p>
    <w:p>
      <w:pPr>
        <w:jc w:val="left"/>
        <w:spacing w:before="360" w:after="200" w:line="360" w:lineRule="auto"/>
        <w:rPr>
          <w:color w:val="auto"/>
          <w:sz w:val="36"/>
          <w:szCs w:val="22"/>
          <w:highlight w:val="none"/>
          <w:u w:val="single"/>
        </w:rPr>
        <w:outlineLvl w:val="1"/>
      </w:pPr>
      <w:r>
        <w:rPr>
          <w:color w:val="auto"/>
          <w:sz w:val="36"/>
          <w:szCs w:val="22"/>
          <w:highlight w:val="none"/>
          <w:u w:val="single"/>
        </w:rPr>
      </w:r>
      <w:r/>
    </w:p>
    <w:p>
      <w:pPr>
        <w:jc w:val="left"/>
        <w:spacing w:before="360" w:after="200" w:line="360" w:lineRule="auto"/>
        <w:rPr>
          <w:color w:val="auto"/>
          <w:sz w:val="36"/>
          <w:szCs w:val="22"/>
          <w:highlight w:val="none"/>
          <w:u w:val="single"/>
        </w:rPr>
        <w:outlineLvl w:val="1"/>
      </w:pPr>
      <w:r>
        <w:rPr>
          <w:color w:val="auto"/>
          <w:sz w:val="36"/>
          <w:szCs w:val="22"/>
          <w:highlight w:val="none"/>
          <w:u w:val="single"/>
        </w:rPr>
      </w:r>
      <w:r/>
    </w:p>
    <w:p>
      <w:pPr>
        <w:rPr>
          <w:color w:val="auto"/>
          <w:sz w:val="36"/>
          <w:szCs w:val="22"/>
          <w:highlight w:val="none"/>
          <w:u w:val="single"/>
        </w:rPr>
      </w:pPr>
      <w:r>
        <w:rPr>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rFonts w:hint="eastAsia"/>
          <w:color w:val="auto"/>
          <w:sz w:val="36"/>
          <w:szCs w:val="22"/>
          <w:highlight w:val="none"/>
          <w:u w:val="single"/>
        </w:rPr>
        <w:t xml:space="preserve">八、特定资格要求的证明文件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sz w:val="36"/>
          <w:szCs w:val="22"/>
          <w:highlight w:val="none"/>
          <w:u w:val="single"/>
        </w:rPr>
      </w:pPr>
      <w:r>
        <w:rPr>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rFonts w:hint="eastAsia"/>
          <w:color w:val="auto"/>
          <w:sz w:val="36"/>
          <w:szCs w:val="22"/>
          <w:highlight w:val="none"/>
          <w:u w:val="single"/>
          <w:lang w:val="en-US" w:eastAsia="zh-CN"/>
        </w:rPr>
        <w:t xml:space="preserve">九</w:t>
      </w:r>
      <w:r>
        <w:rPr>
          <w:color w:val="auto"/>
          <w:sz w:val="36"/>
          <w:szCs w:val="22"/>
          <w:highlight w:val="none"/>
          <w:u w:val="single"/>
        </w:rPr>
        <w:t xml:space="preserve">、授权委托书与法定代表人（单位负责人）身份证明</w:t>
      </w:r>
      <w:r/>
    </w:p>
    <w:p>
      <w:pPr>
        <w:jc w:val="center"/>
        <w:rPr>
          <w:b/>
          <w:color w:val="auto"/>
          <w:sz w:val="36"/>
          <w:szCs w:val="36"/>
          <w:highlight w:val="none"/>
        </w:rPr>
      </w:pPr>
      <w:r>
        <w:rPr>
          <w:b/>
          <w:color w:val="auto"/>
          <w:sz w:val="36"/>
          <w:szCs w:val="36"/>
          <w:highlight w:val="none"/>
        </w:rPr>
        <w:t xml:space="preserve">授权委托书</w:t>
      </w:r>
      <w:r/>
    </w:p>
    <w:p>
      <w:pPr>
        <w:spacing w:line="360" w:lineRule="auto"/>
        <w:rPr>
          <w:rFonts w:hint="eastAsia" w:eastAsia="宋体"/>
          <w:color w:val="auto"/>
          <w:sz w:val="24"/>
          <w:highlight w:val="none"/>
          <w:lang w:eastAsia="zh-CN"/>
        </w:rPr>
      </w:pPr>
      <w:r>
        <w:rPr>
          <w:color w:val="auto"/>
          <w:sz w:val="24"/>
          <w:highlight w:val="none"/>
        </w:rPr>
        <w:t xml:space="preserve">致：</w:t>
      </w:r>
      <w:r>
        <w:rPr>
          <w:color w:val="auto"/>
          <w:sz w:val="24"/>
          <w:highlight w:val="none"/>
          <w:u w:val="single"/>
        </w:rPr>
        <w:t xml:space="preserve">采购</w:t>
      </w:r>
      <w:r>
        <w:rPr>
          <w:rFonts w:hint="eastAsia"/>
          <w:color w:val="auto"/>
          <w:sz w:val="24"/>
          <w:highlight w:val="none"/>
          <w:u w:val="single"/>
          <w:lang w:eastAsia="zh-CN"/>
        </w:rPr>
        <w:t xml:space="preserve">人</w:t>
      </w:r>
      <w:r/>
    </w:p>
    <w:p>
      <w:pPr>
        <w:ind w:firstLine="420"/>
        <w:jc w:val="left"/>
        <w:spacing w:line="360" w:lineRule="auto"/>
        <w:rPr>
          <w:color w:val="auto"/>
          <w:sz w:val="24"/>
          <w:highlight w:val="none"/>
        </w:rPr>
      </w:pPr>
      <w:r>
        <w:rPr>
          <w:color w:val="auto"/>
          <w:sz w:val="24"/>
          <w:highlight w:val="none"/>
        </w:rPr>
        <w:t xml:space="preserve">本人</w:t>
      </w:r>
      <w:r>
        <w:rPr>
          <w:color w:val="auto"/>
          <w:sz w:val="24"/>
          <w:highlight w:val="none"/>
          <w:u w:val="single"/>
        </w:rPr>
        <w:t xml:space="preserve"> （姓名） </w:t>
      </w:r>
      <w:r>
        <w:rPr>
          <w:color w:val="auto"/>
          <w:sz w:val="24"/>
          <w:highlight w:val="none"/>
        </w:rPr>
        <w:t xml:space="preserve">系</w:t>
      </w:r>
      <w:r>
        <w:rPr>
          <w:color w:val="auto"/>
          <w:sz w:val="24"/>
          <w:highlight w:val="none"/>
          <w:u w:val="single"/>
        </w:rPr>
        <w:t xml:space="preserve"> （供应商名称） </w:t>
      </w:r>
      <w:r>
        <w:rPr>
          <w:color w:val="auto"/>
          <w:sz w:val="24"/>
          <w:highlight w:val="none"/>
        </w:rPr>
        <w:t xml:space="preserve">的法定代表人（单位负责人），现委托</w:t>
      </w:r>
      <w:r>
        <w:rPr>
          <w:color w:val="auto"/>
          <w:sz w:val="24"/>
          <w:highlight w:val="none"/>
          <w:u w:val="single"/>
        </w:rPr>
        <w:t xml:space="preserve"> （姓名） </w:t>
      </w:r>
      <w:r>
        <w:rPr>
          <w:color w:val="auto"/>
          <w:sz w:val="24"/>
          <w:highlight w:val="none"/>
        </w:rPr>
        <w:t xml:space="preserve">为我方代理人。代理人根据授权，以我方名义签署、澄清确认、提交、撤回、修改</w:t>
      </w:r>
      <w:r>
        <w:rPr>
          <w:color w:val="auto"/>
          <w:sz w:val="24"/>
          <w:highlight w:val="none"/>
          <w:u w:val="single"/>
        </w:rPr>
        <w:t xml:space="preserve"> （项目名称） </w:t>
      </w:r>
      <w:r>
        <w:rPr>
          <w:color w:val="auto"/>
          <w:sz w:val="24"/>
          <w:highlight w:val="none"/>
        </w:rPr>
        <w:t xml:space="preserve">项目（项目编号：</w:t>
      </w:r>
      <w:r>
        <w:rPr>
          <w:color w:val="auto"/>
          <w:sz w:val="24"/>
          <w:highlight w:val="none"/>
          <w:u w:val="single"/>
        </w:rPr>
        <w:t xml:space="preserve">         </w:t>
      </w:r>
      <w:r>
        <w:rPr>
          <w:color w:val="auto"/>
          <w:sz w:val="24"/>
          <w:highlight w:val="none"/>
        </w:rPr>
        <w:t xml:space="preserve">）响应文件和处理有关事宜，其法律后果由我方承担。</w:t>
      </w:r>
      <w:r/>
    </w:p>
    <w:p>
      <w:pPr>
        <w:ind w:firstLine="420"/>
        <w:jc w:val="left"/>
        <w:spacing w:line="360" w:lineRule="auto"/>
        <w:rPr>
          <w:color w:val="auto"/>
          <w:sz w:val="24"/>
          <w:highlight w:val="none"/>
        </w:rPr>
      </w:pPr>
      <w:r>
        <w:rPr>
          <w:color w:val="auto"/>
          <w:sz w:val="24"/>
          <w:highlight w:val="none"/>
        </w:rPr>
        <w:t xml:space="preserve">委托期限：自本授权委托书签署之日起至响应有效期届满之日止。</w:t>
      </w:r>
      <w:r/>
    </w:p>
    <w:p>
      <w:pPr>
        <w:ind w:firstLine="420"/>
        <w:jc w:val="left"/>
        <w:spacing w:line="360" w:lineRule="auto"/>
        <w:rPr>
          <w:color w:val="auto"/>
          <w:sz w:val="24"/>
          <w:highlight w:val="none"/>
        </w:rPr>
      </w:pPr>
      <w:r>
        <w:rPr>
          <w:color w:val="auto"/>
          <w:sz w:val="24"/>
          <w:highlight w:val="none"/>
        </w:rPr>
        <w:t xml:space="preserve">代理人无转委托权。</w:t>
      </w:r>
      <w:r/>
    </w:p>
    <w:p>
      <w:pPr>
        <w:ind w:firstLine="420"/>
        <w:jc w:val="left"/>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供应商名称（加盖公章）：</w:t>
      </w:r>
      <w:r>
        <w:rPr>
          <w:color w:val="auto"/>
          <w:sz w:val="24"/>
          <w:highlight w:val="none"/>
          <w:u w:val="single"/>
        </w:rPr>
        <w:t xml:space="preserve">             </w:t>
      </w:r>
      <w:r/>
    </w:p>
    <w:p>
      <w:pPr>
        <w:spacing w:line="360" w:lineRule="auto"/>
        <w:rPr>
          <w:color w:val="auto"/>
          <w:sz w:val="24"/>
          <w:highlight w:val="none"/>
        </w:rPr>
      </w:pPr>
      <w:r>
        <w:rPr>
          <w:color w:val="auto"/>
          <w:sz w:val="24"/>
          <w:highlight w:val="none"/>
        </w:rPr>
        <w:t xml:space="preserve">法定代表人（单位负责人）（签字、签章或印鉴）：</w:t>
      </w:r>
      <w:r>
        <w:rPr>
          <w:color w:val="auto"/>
          <w:sz w:val="24"/>
          <w:highlight w:val="none"/>
          <w:u w:val="single"/>
        </w:rPr>
        <w:t xml:space="preserve">             </w:t>
      </w:r>
      <w:r/>
    </w:p>
    <w:p>
      <w:pPr>
        <w:spacing w:line="360" w:lineRule="auto"/>
        <w:rPr>
          <w:color w:val="auto"/>
          <w:sz w:val="24"/>
          <w:highlight w:val="none"/>
        </w:rPr>
      </w:pPr>
      <w:r>
        <w:rPr>
          <w:color w:val="auto"/>
          <w:sz w:val="24"/>
          <w:highlight w:val="none"/>
        </w:rPr>
        <w:t xml:space="preserve">委托代理人（签字/签章）：</w:t>
      </w:r>
      <w:r>
        <w:rPr>
          <w:color w:val="auto"/>
          <w:sz w:val="24"/>
          <w:highlight w:val="none"/>
          <w:u w:val="single"/>
        </w:rPr>
        <w:t xml:space="preserve">             </w:t>
      </w:r>
      <w:r/>
    </w:p>
    <w:p>
      <w:pPr>
        <w:spacing w:line="360" w:lineRule="auto"/>
        <w:rPr>
          <w:color w:val="auto"/>
          <w:sz w:val="24"/>
          <w:highlight w:val="none"/>
        </w:rPr>
      </w:pPr>
      <w:r>
        <w:rPr>
          <w:color w:val="auto"/>
          <w:sz w:val="24"/>
          <w:highlight w:val="none"/>
        </w:rPr>
        <w:t xml:space="preserve">日期：    年     月     日</w:t>
      </w:r>
      <w:r/>
    </w:p>
    <w:p>
      <w:pPr>
        <w:ind w:firstLine="480"/>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t xml:space="preserve">法定代表人（单位负责人）有效期内的身份证</w:t>
      </w:r>
      <w:r>
        <w:rPr>
          <w:b/>
          <w:color w:val="auto"/>
          <w:sz w:val="24"/>
          <w:szCs w:val="20"/>
          <w:highlight w:val="none"/>
        </w:rPr>
        <w:t xml:space="preserve">正反面</w:t>
      </w:r>
      <w:r>
        <w:rPr>
          <w:color w:val="auto"/>
          <w:sz w:val="24"/>
          <w:szCs w:val="20"/>
          <w:highlight w:val="none"/>
        </w:rPr>
        <w:t xml:space="preserve">电子件：</w:t>
      </w:r>
      <w:r/>
    </w:p>
    <w:tbl>
      <w:tblPr>
        <w:tblStyle w:val="8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jc w:val="left"/>
        <w:spacing w:line="360" w:lineRule="auto"/>
        <w:tabs>
          <w:tab w:val="left" w:pos="5580" w:leader="none"/>
        </w:tabs>
        <w:rPr>
          <w:color w:val="auto"/>
          <w:sz w:val="24"/>
          <w:szCs w:val="20"/>
          <w:highlight w:val="none"/>
        </w:rPr>
      </w:pPr>
      <w:r>
        <w:rPr>
          <w:color w:val="auto"/>
          <w:sz w:val="24"/>
          <w:szCs w:val="20"/>
          <w:highlight w:val="none"/>
        </w:rPr>
        <w:t xml:space="preserve">委托代理人有效期内的身份证</w:t>
      </w:r>
      <w:r>
        <w:rPr>
          <w:b/>
          <w:color w:val="auto"/>
          <w:sz w:val="24"/>
          <w:szCs w:val="20"/>
          <w:highlight w:val="none"/>
        </w:rPr>
        <w:t xml:space="preserve">正反面</w:t>
      </w:r>
      <w:r>
        <w:rPr>
          <w:color w:val="auto"/>
          <w:sz w:val="24"/>
          <w:szCs w:val="20"/>
          <w:highlight w:val="none"/>
        </w:rPr>
        <w:t xml:space="preserve">电子件：</w:t>
      </w:r>
      <w:r/>
    </w:p>
    <w:tbl>
      <w:tblPr>
        <w:tblStyle w:val="8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jc w:val="left"/>
        <w:spacing w:line="360" w:lineRule="auto"/>
        <w:tabs>
          <w:tab w:val="left" w:pos="5580" w:leader="none"/>
        </w:tabs>
        <w:rPr>
          <w:color w:val="auto"/>
          <w:sz w:val="24"/>
          <w:highlight w:val="none"/>
        </w:rPr>
      </w:pPr>
      <w:r>
        <w:rPr>
          <w:color w:val="auto"/>
          <w:sz w:val="24"/>
          <w:highlight w:val="none"/>
        </w:rPr>
        <w:t xml:space="preserve">填报说明：</w:t>
      </w:r>
      <w:r/>
    </w:p>
    <w:p>
      <w:pPr>
        <w:ind w:firstLine="480"/>
        <w:jc w:val="left"/>
        <w:spacing w:line="360" w:lineRule="auto"/>
        <w:tabs>
          <w:tab w:val="left" w:pos="5580" w:leader="none"/>
        </w:tabs>
        <w:rPr>
          <w:color w:val="auto"/>
          <w:sz w:val="24"/>
          <w:highlight w:val="none"/>
        </w:rPr>
      </w:pPr>
      <w:r>
        <w:rPr>
          <w:color w:val="auto"/>
          <w:sz w:val="24"/>
          <w:highlight w:val="none"/>
        </w:rPr>
        <w:t xml:space="preserve">1、若供应商为事业单位或其他组织或分支机构（仅当磋商文件注明允许分支机构参与磋商的），则法定代表人（单位负责人）处的签署人可为单位负责人。</w:t>
      </w:r>
      <w:r/>
    </w:p>
    <w:p>
      <w:pPr>
        <w:ind w:firstLine="480"/>
        <w:jc w:val="left"/>
        <w:spacing w:line="360" w:lineRule="auto"/>
        <w:tabs>
          <w:tab w:val="left" w:pos="5580" w:leader="none"/>
        </w:tabs>
        <w:rPr>
          <w:color w:val="auto"/>
          <w:sz w:val="24"/>
          <w:highlight w:val="none"/>
        </w:rPr>
      </w:pPr>
      <w:r>
        <w:rPr>
          <w:color w:val="auto"/>
          <w:sz w:val="24"/>
          <w:highlight w:val="none"/>
        </w:rPr>
        <w:t xml:space="preserve">2、若响应文件中全部签字之处均为法定代表人（单位负责人）本人签署，则可不提供本《授权委托书》，但须提供《法定代表人（单位负责人）身份证明》。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color w:val="auto"/>
          <w:sz w:val="24"/>
          <w:highlight w:val="none"/>
        </w:rPr>
      </w:pPr>
      <w:r>
        <w:rPr>
          <w:color w:val="auto"/>
          <w:sz w:val="24"/>
          <w:highlight w:val="none"/>
        </w:rPr>
        <w:t xml:space="preserve">3、供应商为自然人的情形，可不提供本《授权委托书》。</w:t>
      </w:r>
      <w:r/>
    </w:p>
    <w:p>
      <w:pPr>
        <w:rPr>
          <w:rFonts w:eastAsia="Arial"/>
          <w:color w:val="auto"/>
          <w:szCs w:val="22"/>
          <w:highlight w:val="none"/>
        </w:rPr>
      </w:pPr>
      <w:r>
        <w:rPr>
          <w:rFonts w:eastAsia="Arial"/>
          <w:color w:val="auto"/>
          <w:szCs w:val="22"/>
          <w:highlight w:val="none"/>
        </w:rPr>
      </w:r>
      <w:r/>
    </w:p>
    <w:p>
      <w:pPr>
        <w:jc w:val="center"/>
        <w:spacing w:line="360" w:lineRule="exact"/>
        <w:rPr>
          <w:b/>
          <w:color w:val="auto"/>
          <w:sz w:val="36"/>
          <w:szCs w:val="36"/>
          <w:highlight w:val="none"/>
        </w:rPr>
      </w:pPr>
      <w:r>
        <w:rPr>
          <w:b/>
          <w:color w:val="auto"/>
          <w:sz w:val="36"/>
          <w:szCs w:val="36"/>
          <w:highlight w:val="none"/>
        </w:rPr>
        <w:t xml:space="preserve">法定代表人（单位负责人）身份证明</w:t>
      </w:r>
      <w:r/>
    </w:p>
    <w:p>
      <w:pPr>
        <w:spacing w:line="200" w:lineRule="exact"/>
        <w:rPr>
          <w:color w:val="auto"/>
          <w:sz w:val="20"/>
          <w:szCs w:val="20"/>
          <w:highlight w:val="none"/>
        </w:rPr>
      </w:pPr>
      <w:r>
        <w:rPr>
          <w:color w:val="auto"/>
          <w:sz w:val="20"/>
          <w:szCs w:val="20"/>
          <w:highlight w:val="none"/>
        </w:rPr>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 采购</w:t>
      </w:r>
      <w:r>
        <w:rPr>
          <w:rFonts w:hint="eastAsia"/>
          <w:color w:val="auto"/>
          <w:sz w:val="24"/>
          <w:highlight w:val="none"/>
          <w:u w:val="single"/>
          <w:lang w:eastAsia="zh-CN"/>
        </w:rPr>
        <w:t xml:space="preserve">人</w:t>
      </w:r>
      <w:r>
        <w:rPr>
          <w:color w:val="auto"/>
          <w:sz w:val="24"/>
          <w:highlight w:val="none"/>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color w:val="auto"/>
          <w:sz w:val="24"/>
          <w:highlight w:val="none"/>
        </w:rPr>
      </w:pPr>
      <w:r>
        <w:rPr>
          <w:color w:val="auto"/>
          <w:sz w:val="24"/>
          <w:highlight w:val="none"/>
        </w:rPr>
        <w:t xml:space="preserve">姓名：</w:t>
      </w:r>
      <w:r>
        <w:rPr>
          <w:color w:val="auto"/>
          <w:sz w:val="24"/>
          <w:highlight w:val="none"/>
          <w:u w:val="single"/>
        </w:rPr>
        <w:t xml:space="preserve">        </w:t>
      </w:r>
      <w:r>
        <w:rPr>
          <w:color w:val="auto"/>
          <w:sz w:val="24"/>
          <w:highlight w:val="none"/>
        </w:rPr>
        <w:t xml:space="preserve">性别：</w:t>
      </w:r>
      <w:r>
        <w:rPr>
          <w:color w:val="auto"/>
          <w:sz w:val="24"/>
          <w:highlight w:val="none"/>
          <w:u w:val="single"/>
        </w:rPr>
        <w:t xml:space="preserve">        </w:t>
      </w:r>
      <w:r>
        <w:rPr>
          <w:color w:val="auto"/>
          <w:sz w:val="24"/>
          <w:highlight w:val="none"/>
        </w:rPr>
        <w:t xml:space="preserve">年龄：</w:t>
      </w:r>
      <w:r>
        <w:rPr>
          <w:color w:val="auto"/>
          <w:sz w:val="24"/>
          <w:highlight w:val="none"/>
          <w:u w:val="single"/>
        </w:rPr>
        <w:t xml:space="preserve">        </w:t>
      </w:r>
      <w:r>
        <w:rPr>
          <w:color w:val="auto"/>
          <w:sz w:val="24"/>
          <w:highlight w:val="none"/>
        </w:rPr>
        <w:t xml:space="preserve">职务：</w:t>
      </w:r>
      <w:r>
        <w:rPr>
          <w:color w:val="auto"/>
          <w:sz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t xml:space="preserve">系</w:t>
      </w:r>
      <w:r>
        <w:rPr>
          <w:color w:val="auto"/>
          <w:sz w:val="24"/>
          <w:highlight w:val="none"/>
          <w:u w:val="single"/>
        </w:rPr>
        <w:t xml:space="preserve"> （供应商名称） </w:t>
      </w:r>
      <w:r>
        <w:rPr>
          <w:color w:val="auto"/>
          <w:sz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r>
      <w:r/>
    </w:p>
    <w:p>
      <w:pPr>
        <w:ind w:right="-46"/>
        <w:spacing w:before="120" w:line="583" w:lineRule="auto"/>
        <w:tabs>
          <w:tab w:val="left" w:pos="567" w:leader="none"/>
        </w:tabs>
        <w:rPr>
          <w:color w:val="auto"/>
          <w:spacing w:val="-3"/>
          <w:sz w:val="24"/>
          <w:highlight w:val="none"/>
        </w:rPr>
      </w:pPr>
      <w:r>
        <w:rPr>
          <w:color w:val="auto"/>
          <w:spacing w:val="-3"/>
          <w:sz w:val="24"/>
          <w:highlight w:val="none"/>
        </w:rPr>
        <w:t xml:space="preserve">法</w:t>
      </w:r>
      <w:r>
        <w:rPr>
          <w:color w:val="auto"/>
          <w:sz w:val="24"/>
          <w:highlight w:val="none"/>
        </w:rPr>
        <w:t xml:space="preserve">定</w:t>
      </w:r>
      <w:r>
        <w:rPr>
          <w:color w:val="auto"/>
          <w:spacing w:val="-3"/>
          <w:sz w:val="24"/>
          <w:highlight w:val="none"/>
        </w:rPr>
        <w:t xml:space="preserve">代</w:t>
      </w:r>
      <w:r>
        <w:rPr>
          <w:color w:val="auto"/>
          <w:sz w:val="24"/>
          <w:highlight w:val="none"/>
        </w:rPr>
        <w:t xml:space="preserve">表</w:t>
      </w:r>
      <w:r>
        <w:rPr>
          <w:color w:val="auto"/>
          <w:spacing w:val="-3"/>
          <w:sz w:val="24"/>
          <w:highlight w:val="none"/>
        </w:rPr>
        <w:t xml:space="preserve">人</w:t>
      </w:r>
      <w:r>
        <w:rPr>
          <w:color w:val="auto"/>
          <w:sz w:val="24"/>
          <w:highlight w:val="none"/>
        </w:rPr>
        <w:t xml:space="preserve">（</w:t>
      </w:r>
      <w:r>
        <w:rPr>
          <w:color w:val="auto"/>
          <w:spacing w:val="-3"/>
          <w:sz w:val="24"/>
          <w:highlight w:val="none"/>
        </w:rPr>
        <w:t xml:space="preserve">单</w:t>
      </w:r>
      <w:r>
        <w:rPr>
          <w:color w:val="auto"/>
          <w:sz w:val="24"/>
          <w:highlight w:val="none"/>
        </w:rPr>
        <w:t xml:space="preserve">位</w:t>
      </w:r>
      <w:r>
        <w:rPr>
          <w:color w:val="auto"/>
          <w:spacing w:val="-3"/>
          <w:sz w:val="24"/>
          <w:highlight w:val="none"/>
        </w:rPr>
        <w:t xml:space="preserve">负</w:t>
      </w:r>
      <w:r>
        <w:rPr>
          <w:color w:val="auto"/>
          <w:sz w:val="24"/>
          <w:highlight w:val="none"/>
        </w:rPr>
        <w:t xml:space="preserve">责人</w:t>
      </w:r>
      <w:r>
        <w:rPr>
          <w:color w:val="auto"/>
          <w:spacing w:val="-3"/>
          <w:sz w:val="24"/>
          <w:highlight w:val="none"/>
        </w:rPr>
        <w:t xml:space="preserve">）有效期内的身份证正反面电子件：</w:t>
      </w:r>
      <w:r/>
    </w:p>
    <w:tbl>
      <w:tblPr>
        <w:tblStyle w:val="8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ind w:right="4305"/>
        <w:spacing w:before="120" w:line="583" w:lineRule="auto"/>
        <w:tabs>
          <w:tab w:val="left" w:pos="567" w:leader="none"/>
        </w:tabs>
        <w:rPr>
          <w:color w:val="auto"/>
          <w:spacing w:val="-3"/>
          <w:sz w:val="24"/>
          <w:highlight w:val="none"/>
        </w:rPr>
      </w:pPr>
      <w:r>
        <w:rPr>
          <w:color w:val="auto"/>
          <w:spacing w:val="-3"/>
          <w:sz w:val="24"/>
          <w:highlight w:val="none"/>
        </w:rPr>
      </w:r>
      <w:r/>
    </w:p>
    <w:p>
      <w:pPr>
        <w:spacing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w:t>
      </w:r>
      <w:r>
        <w:rPr>
          <w:color w:val="auto"/>
          <w:sz w:val="24"/>
          <w:highlight w:val="none"/>
          <w:u w:val="single"/>
        </w:rPr>
        <w:t xml:space="preserve">             </w:t>
      </w:r>
      <w:r/>
    </w:p>
    <w:p>
      <w:pPr>
        <w:spacing w:line="360" w:lineRule="auto"/>
        <w:rPr>
          <w:color w:val="auto"/>
          <w:sz w:val="24"/>
          <w:highlight w:val="none"/>
        </w:rPr>
      </w:pPr>
      <w:r>
        <w:rPr>
          <w:color w:val="auto"/>
          <w:spacing w:val="-3"/>
          <w:sz w:val="24"/>
          <w:highlight w:val="none"/>
        </w:rPr>
        <w:t xml:space="preserve">法定代表人（</w:t>
      </w:r>
      <w:r>
        <w:rPr>
          <w:color w:val="auto"/>
          <w:sz w:val="24"/>
          <w:highlight w:val="none"/>
        </w:rPr>
        <w:t xml:space="preserve">单位负责人</w:t>
      </w:r>
      <w:r>
        <w:rPr>
          <w:color w:val="auto"/>
          <w:spacing w:val="-3"/>
          <w:sz w:val="24"/>
          <w:highlight w:val="none"/>
        </w:rPr>
        <w:t xml:space="preserve">）（签字、签章或印鉴）：</w:t>
      </w:r>
      <w:r>
        <w:rPr>
          <w:color w:val="auto"/>
          <w:sz w:val="24"/>
          <w:highlight w:val="none"/>
          <w:u w:val="single"/>
        </w:rPr>
        <w:t xml:space="preserve">             </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日期：    年     月     日</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140" w:after="20" w:line="416" w:lineRule="auto"/>
        <w:rPr>
          <w:rFonts w:eastAsia="黑体"/>
          <w:b/>
          <w:color w:val="auto"/>
          <w:sz w:val="32"/>
          <w:szCs w:val="32"/>
          <w:highlight w:val="none"/>
          <w:u w:val="single"/>
        </w:rPr>
        <w:outlineLvl w:val="1"/>
      </w:pPr>
      <w:r>
        <w:rPr>
          <w:rFonts w:hint="eastAsia"/>
          <w:color w:val="auto"/>
          <w:sz w:val="36"/>
          <w:szCs w:val="22"/>
          <w:highlight w:val="none"/>
          <w:u w:val="single"/>
          <w:lang w:val="en-US" w:eastAsia="zh-CN"/>
        </w:rPr>
        <w:t xml:space="preserve">十</w:t>
      </w:r>
      <w:r>
        <w:rPr>
          <w:color w:val="auto"/>
          <w:sz w:val="36"/>
          <w:szCs w:val="22"/>
          <w:highlight w:val="none"/>
          <w:u w:val="single"/>
        </w:rPr>
        <w:t xml:space="preserve">、磋商响应函</w:t>
      </w:r>
      <w:r/>
    </w:p>
    <w:p>
      <w:pPr>
        <w:jc w:val="center"/>
        <w:spacing w:line="360" w:lineRule="auto"/>
        <w:tabs>
          <w:tab w:val="left" w:pos="360" w:leader="none"/>
        </w:tabs>
        <w:rPr>
          <w:color w:val="auto"/>
          <w:sz w:val="24"/>
          <w:highlight w:val="none"/>
        </w:rPr>
      </w:pPr>
      <w:r>
        <w:rPr>
          <w:rFonts w:eastAsia="黑体"/>
          <w:bCs/>
          <w:color w:val="auto"/>
          <w:sz w:val="36"/>
          <w:szCs w:val="28"/>
          <w:highlight w:val="none"/>
        </w:rPr>
        <w:t xml:space="preserve">磋商响应函</w:t>
      </w:r>
      <w:r/>
    </w:p>
    <w:p>
      <w:pPr>
        <w:jc w:val="left"/>
        <w:keepLines w:val="0"/>
        <w:keepNext w:val="0"/>
        <w:pageBreakBefore w:val="0"/>
        <w:spacing w:line="440" w:lineRule="exact"/>
        <w:widowControl w:val="off"/>
        <w:rPr>
          <w:rFonts w:hint="eastAsia" w:eastAsia="宋体"/>
          <w:color w:val="auto"/>
          <w:sz w:val="24"/>
          <w:szCs w:val="21"/>
          <w:highlight w:val="none"/>
          <w:u w:val="single"/>
          <w:lang w:eastAsia="zh-CN"/>
        </w:rPr>
      </w:pPr>
      <w:r>
        <w:rPr>
          <w:color w:val="auto"/>
          <w:sz w:val="24"/>
          <w:szCs w:val="21"/>
          <w:highlight w:val="none"/>
        </w:rPr>
        <w:t xml:space="preserve">致：</w:t>
      </w:r>
      <w:r>
        <w:rPr>
          <w:rFonts w:hint="eastAsia"/>
          <w:color w:val="auto"/>
          <w:sz w:val="24"/>
          <w:szCs w:val="21"/>
          <w:highlight w:val="none"/>
          <w:u w:val="single"/>
          <w:lang w:val="en-US" w:eastAsia="zh-CN"/>
        </w:rPr>
        <w:t xml:space="preserve">采购人</w:t>
      </w:r>
      <w:r/>
    </w:p>
    <w:p>
      <w:pPr>
        <w:ind w:firstLine="480"/>
        <w:jc w:val="left"/>
        <w:keepLines w:val="0"/>
        <w:keepNext w:val="0"/>
        <w:pageBreakBefore w:val="0"/>
        <w:spacing w:line="440" w:lineRule="exact"/>
        <w:widowControl w:val="off"/>
        <w:rPr>
          <w:color w:val="auto"/>
          <w:sz w:val="24"/>
          <w:szCs w:val="21"/>
          <w:highlight w:val="none"/>
        </w:rPr>
      </w:pPr>
      <w:r>
        <w:rPr>
          <w:color w:val="auto"/>
          <w:sz w:val="24"/>
          <w:szCs w:val="21"/>
          <w:highlight w:val="none"/>
        </w:rPr>
        <w:t xml:space="preserve">根据贵方的JSZC-_________________号磋商文件，正式授权下述签字人_________________(姓名)代表我方______________（供应商的名称），全权处理本次项目磋商采购的有关事宜。</w:t>
      </w:r>
      <w:r/>
    </w:p>
    <w:p>
      <w:pPr>
        <w:ind w:firstLine="480"/>
        <w:jc w:val="left"/>
        <w:keepLines w:val="0"/>
        <w:keepNext w:val="0"/>
        <w:pageBreakBefore w:val="0"/>
        <w:spacing w:line="440" w:lineRule="exact"/>
        <w:widowControl w:val="off"/>
        <w:rPr>
          <w:color w:val="auto"/>
          <w:sz w:val="24"/>
          <w:szCs w:val="21"/>
          <w:highlight w:val="none"/>
        </w:rPr>
      </w:pPr>
      <w:r>
        <w:rPr>
          <w:color w:val="auto"/>
          <w:sz w:val="24"/>
          <w:szCs w:val="21"/>
          <w:highlight w:val="none"/>
        </w:rPr>
        <w:t xml:space="preserve">据此函，__________签字人兹宣布同意如下：</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1.按采购文件项目需求提交响应报价，报价、</w:t>
      </w:r>
      <w:r>
        <w:rPr>
          <w:rFonts w:hint="eastAsia"/>
          <w:b w:val="0"/>
          <w:color w:val="auto"/>
          <w:highlight w:val="none"/>
          <w:lang w:val="en-US" w:eastAsia="zh-CN"/>
        </w:rPr>
        <w:t xml:space="preserve">服务</w:t>
      </w:r>
      <w:r>
        <w:rPr>
          <w:rFonts w:hint="eastAsia"/>
          <w:b w:val="0"/>
          <w:color w:val="auto"/>
          <w:highlight w:val="none"/>
        </w:rPr>
        <w:t xml:space="preserve">期等详见开标一览表。</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2.我方同意在本标段采购文件中规定的响应文件递交截止之日起60天内遵守本响应文件中的承诺且在此期限期满之前均具有约束力。</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3.我方承诺已经具备《中华人民共和国政府采购法》中规定的参加政府采购活动的供应商应当具备的条件：</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(1)具有独立承担民事责任的能力；</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(2)具有良好的商业信誉和健全的财务会计制度；</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(3)具有履行合同所必需的设备和专业技术能力；</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(4)有依法缴纳税收和社会保障资金的良好记录；</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(5)参加此项采购活动前三年内，在经营活动中没有重大违法记录。</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4.我方根据采购文件的规定，承担完成合同的责任和义务。</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5.我方已详细审核采购文件，我方知道必须放弃提出含糊不清或误解问题的权利。</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6.如果在响应文件有效期内撤回或者有其他违约行为，我方的保证金可被贵方全部或部分没收。</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7.同意应贵方要求提供与本次采购活动有关的任何数据或资料。</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8.我方完全理解，最低报价不是中标（成交）的唯一条件。</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9.若贵方需要，我方愿意提供我方作出的一切承诺的证明材料。</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(1)提供虚假材料谋取中标、成交的；</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(2)采取不正当手段诋毁、排挤其他供应商的；</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(3)与采购人、其他供应商或者采购代理机构恶意串通的；</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(4)向采购人、采购代理机构行贿或者提供其他不正当利益的；</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(5)在招标采购过程中与采购人进行协商谈判的；</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(6)拒绝有关部门监督检查或提供虚假情况的。</w:t>
      </w:r>
      <w:r/>
    </w:p>
    <w:p>
      <w:pPr>
        <w:pStyle w:val="1140"/>
        <w:ind w:firstLine="480"/>
        <w:jc w:val="left"/>
        <w:spacing w:line="560" w:lineRule="exact"/>
        <w:rPr>
          <w:b w:val="0"/>
          <w:color w:val="auto"/>
          <w:highlight w:val="none"/>
        </w:rPr>
      </w:pPr>
      <w:r>
        <w:rPr>
          <w:b w:val="0"/>
          <w:color w:val="auto"/>
          <w:highlight w:val="none"/>
        </w:rPr>
        <w:t xml:space="preserve"> </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法定代表人或其委托代理人签字（或盖章）： 　　</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供应商公章： </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日期： </w:t>
      </w:r>
      <w:r/>
    </w:p>
    <w:p>
      <w:pPr>
        <w:pStyle w:val="1140"/>
        <w:ind w:firstLine="480"/>
        <w:jc w:val="left"/>
        <w:spacing w:line="560" w:lineRule="exact"/>
        <w:rPr>
          <w:b w:val="0"/>
          <w:color w:val="auto"/>
          <w:highlight w:val="none"/>
        </w:rPr>
      </w:pPr>
      <w:r>
        <w:rPr>
          <w:b w:val="0"/>
          <w:color w:val="auto"/>
          <w:highlight w:val="none"/>
        </w:rPr>
        <w:t xml:space="preserve"> </w:t>
      </w:r>
      <w:r/>
    </w:p>
    <w:p>
      <w:pPr>
        <w:pStyle w:val="1140"/>
        <w:ind w:firstLine="480"/>
        <w:jc w:val="left"/>
        <w:spacing w:line="560" w:lineRule="exact"/>
        <w:rPr>
          <w:rFonts w:hint="eastAsia"/>
          <w:b w:val="0"/>
          <w:bCs w:val="0"/>
          <w:color w:val="auto"/>
          <w:highlight w:val="none"/>
        </w:rPr>
      </w:pPr>
      <w:r>
        <w:rPr>
          <w:rFonts w:hint="eastAsia"/>
          <w:b w:val="0"/>
          <w:color w:val="auto"/>
          <w:highlight w:val="none"/>
        </w:rPr>
        <w:t xml:space="preserve">注：未按照本响应函的格式要求填写的，将造成非实质性响应。</w:t>
      </w:r>
      <w:r>
        <w:rPr>
          <w:b w:val="0"/>
          <w:bCs w:val="0"/>
          <w:color w:val="auto"/>
          <w:highlight w:val="none"/>
        </w:rPr>
        <w:t xml:space="preserve">从而导致该供应商响应无效。</w:t>
      </w:r>
      <w:r/>
    </w:p>
    <w:p>
      <w:pPr>
        <w:jc w:val="cente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140" w:after="20" w:line="416" w:lineRule="auto"/>
        <w:rPr>
          <w:rFonts w:hint="eastAsia"/>
          <w:color w:val="auto"/>
          <w:sz w:val="36"/>
          <w:szCs w:val="22"/>
          <w:highlight w:val="none"/>
          <w:u w:val="single"/>
        </w:rPr>
        <w:outlineLvl w:val="1"/>
      </w:pPr>
      <w:r>
        <w:rPr>
          <w:rFonts w:hint="eastAsia"/>
          <w:color w:val="auto"/>
          <w:sz w:val="36"/>
          <w:szCs w:val="22"/>
          <w:highlight w:val="none"/>
          <w:u w:val="single"/>
        </w:rPr>
        <w:t xml:space="preserve">十一、中小企业声明函（服务）</w:t>
      </w:r>
      <w:r/>
    </w:p>
    <w:p>
      <w:pPr>
        <w:jc w:val="center"/>
        <w:spacing w:line="360" w:lineRule="auto"/>
        <w:rPr>
          <w:rFonts w:hint="eastAsia" w:ascii="宋体" w:hAnsi="宋体" w:eastAsia="宋体" w:cs="宋体"/>
          <w:b/>
          <w:bCs w:val="0"/>
          <w:color w:val="auto"/>
          <w:sz w:val="36"/>
          <w:szCs w:val="28"/>
          <w:highlight w:val="none"/>
          <w:lang w:eastAsia="zh-CN"/>
        </w:rPr>
      </w:pPr>
      <w:r>
        <w:rPr>
          <w:rFonts w:hint="eastAsia" w:ascii="宋体" w:hAnsi="宋体" w:cs="宋体"/>
          <w:b/>
          <w:bCs w:val="0"/>
          <w:color w:val="auto"/>
          <w:sz w:val="36"/>
          <w:szCs w:val="28"/>
          <w:highlight w:val="none"/>
        </w:rPr>
        <w:t xml:space="preserve">中小企业声明函</w:t>
      </w:r>
      <w:r>
        <w:rPr>
          <w:rFonts w:hint="eastAsia" w:ascii="宋体" w:hAnsi="宋体" w:cs="宋体"/>
          <w:b/>
          <w:bCs w:val="0"/>
          <w:color w:val="auto"/>
          <w:sz w:val="36"/>
          <w:szCs w:val="28"/>
          <w:highlight w:val="none"/>
          <w:lang w:eastAsia="zh-CN"/>
        </w:rPr>
        <w:t xml:space="preserve">（</w:t>
      </w:r>
      <w:r>
        <w:rPr>
          <w:rFonts w:hint="eastAsia" w:ascii="宋体" w:hAnsi="宋体" w:cs="宋体"/>
          <w:b/>
          <w:bCs w:val="0"/>
          <w:color w:val="auto"/>
          <w:sz w:val="36"/>
          <w:szCs w:val="28"/>
          <w:highlight w:val="none"/>
          <w:lang w:val="en-US" w:eastAsia="zh-CN"/>
        </w:rPr>
        <w:t xml:space="preserve">服务类</w:t>
      </w:r>
      <w:r>
        <w:rPr>
          <w:rFonts w:hint="eastAsia" w:ascii="宋体" w:hAnsi="宋体" w:cs="宋体"/>
          <w:b/>
          <w:bCs w:val="0"/>
          <w:color w:val="auto"/>
          <w:sz w:val="36"/>
          <w:szCs w:val="28"/>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本公司郑重声明，根据《政府采购促进中小企业发展管理办法》（财库﹝2020﹞46号）的规定，本公司参加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采购活动，服务全部由符合政策要求的中小企业承接。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 </w:t>
      </w:r>
      <w:r>
        <w:rPr>
          <w:rFonts w:hint="eastAsia" w:ascii="宋体" w:hAnsi="宋体" w:cs="宋体"/>
          <w:color w:val="auto"/>
          <w:sz w:val="24"/>
          <w:highlight w:val="none"/>
        </w:rPr>
        <w:t xml:space="preserve">行业；承接企业为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92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9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企业名称（盖章）： </w:t>
      </w:r>
      <w:r/>
    </w:p>
    <w:p>
      <w:pPr>
        <w:ind w:right="480" w:firstLine="49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ind w:right="480" w:firstLine="492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填报说明：</w:t>
      </w:r>
      <w:r/>
    </w:p>
    <w:p>
      <w:pPr>
        <w:ind w:right="480"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1、从业人员、营业收入、资产总额填报上一年度数据，无上一年度数据的新成立企业可不填报。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2、请供应商如实填写，所填内容将作为评审的依据。如填写不完整，将不享受扶持政策。</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3、成交供应商的《中小企业声明函》随成交结果公开。</w:t>
      </w:r>
      <w:r/>
    </w:p>
    <w:p>
      <w:pPr>
        <w:pStyle w:val="885"/>
        <w:ind w:left="0" w:firstLine="0"/>
        <w:rPr>
          <w:rFonts w:hint="eastAsia"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 xml:space="preserve">十二、残疾人福利性单位声明函</w:t>
      </w:r>
      <w:r/>
    </w:p>
    <w:p>
      <w:pPr>
        <w:jc w:val="center"/>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r>
      <w:r/>
    </w:p>
    <w:p>
      <w:pPr>
        <w:jc w:val="center"/>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t xml:space="preserve">残疾人福利性单位声明函</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1"/>
          <w:highlight w:val="none"/>
          <w:u w:val="single"/>
          <w:lang w:val="en-US" w:eastAsia="zh-CN"/>
        </w:rPr>
        <w:t xml:space="preserve">        </w:t>
      </w:r>
      <w:r>
        <w:rPr>
          <w:rFonts w:hint="eastAsia" w:ascii="宋体" w:hAnsi="宋体" w:cs="宋体"/>
          <w:color w:val="auto"/>
          <w:sz w:val="24"/>
          <w:szCs w:val="21"/>
          <w:highlight w:val="none"/>
        </w:rPr>
        <w:t xml:space="preserve">单位的</w:t>
      </w:r>
      <w:r>
        <w:rPr>
          <w:rFonts w:hint="eastAsia" w:ascii="宋体" w:hAnsi="宋体" w:cs="宋体"/>
          <w:color w:val="auto"/>
          <w:sz w:val="24"/>
          <w:szCs w:val="21"/>
          <w:highlight w:val="none"/>
          <w:u w:val="single"/>
          <w:lang w:val="en-US" w:eastAsia="zh-CN"/>
        </w:rPr>
        <w:t xml:space="preserve">              </w:t>
      </w:r>
      <w:r>
        <w:rPr>
          <w:rFonts w:hint="eastAsia" w:ascii="宋体" w:hAnsi="宋体" w:cs="宋体"/>
          <w:color w:val="auto"/>
          <w:sz w:val="24"/>
          <w:szCs w:val="21"/>
          <w:highlight w:val="none"/>
        </w:rPr>
        <w:t xml:space="preserve">项目由本单位提供全部服务。</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本单位对上述声明的真实性负责。如有虚假，将依法承担相应责任。</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bCs/>
          <w:color w:val="auto"/>
          <w:sz w:val="24"/>
          <w:highlight w:val="none"/>
        </w:rPr>
        <w:t xml:space="preserve">磋商供应商（盖章）</w:t>
      </w:r>
      <w:r>
        <w:rPr>
          <w:rFonts w:hint="eastAsia" w:ascii="宋体" w:hAnsi="宋体" w:cs="宋体"/>
          <w:color w:val="auto"/>
          <w:sz w:val="24"/>
          <w:szCs w:val="21"/>
          <w:highlight w:val="none"/>
        </w:rPr>
        <w:t xml:space="preserve">：</w:t>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日期：   年   月   日</w:t>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填报说明：</w:t>
      </w:r>
      <w:r/>
    </w:p>
    <w:p>
      <w:pPr>
        <w:ind w:right="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1、请供应商如实填写，所填内容将作为评审的依据。</w:t>
      </w:r>
      <w:r>
        <w:rPr>
          <w:rFonts w:hint="eastAsia" w:ascii="宋体" w:hAnsi="宋体" w:cs="宋体"/>
          <w:color w:val="auto"/>
          <w:sz w:val="24"/>
          <w:highlight w:val="none"/>
        </w:rPr>
        <w:t xml:space="preserve">如填写不完整，将不享受扶</w:t>
      </w:r>
      <w:r>
        <w:rPr>
          <w:rFonts w:hint="eastAsia" w:ascii="宋体" w:hAnsi="宋体" w:cs="宋体"/>
          <w:bCs/>
          <w:color w:val="auto"/>
          <w:sz w:val="24"/>
          <w:highlight w:val="none"/>
        </w:rPr>
        <w:t xml:space="preserve">持政策。</w:t>
      </w:r>
      <w:r/>
    </w:p>
    <w:p>
      <w:pPr>
        <w:rPr>
          <w:color w:val="auto"/>
          <w:sz w:val="36"/>
          <w:szCs w:val="22"/>
          <w:highlight w:val="none"/>
          <w:u w:val="single"/>
        </w:rPr>
      </w:pPr>
      <w:r>
        <w:rPr>
          <w:color w:val="auto"/>
          <w:sz w:val="36"/>
          <w:szCs w:val="22"/>
          <w:highlight w:val="none"/>
          <w:u w:val="single"/>
        </w:rPr>
        <w:br w:type="page" w:clear="all"/>
      </w:r>
      <w:r/>
    </w:p>
    <w:p>
      <w:pPr>
        <w:jc w:val="both"/>
        <w:spacing w:before="286" w:after="286"/>
        <w:rPr>
          <w:rFonts w:hint="default"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 xml:space="preserve">十三、首次磋商报价表</w:t>
      </w:r>
      <w:r/>
    </w:p>
    <w:p>
      <w:pPr>
        <w:jc w:val="center"/>
        <w:spacing w:before="286" w:after="286"/>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首次磋商报价表（开标一览表）</w:t>
      </w:r>
      <w:r/>
    </w:p>
    <w:p>
      <w:pPr>
        <w:ind w:firstLine="720"/>
        <w:jc w:val="left"/>
        <w:rPr>
          <w:rFonts w:hint="eastAsia" w:ascii="宋体" w:hAnsi="宋体" w:cs="方正仿宋_GBK"/>
          <w:color w:val="auto"/>
          <w:sz w:val="24"/>
          <w:highlight w:val="none"/>
        </w:rPr>
      </w:pPr>
      <w:r>
        <w:rPr>
          <w:rFonts w:hint="eastAsia" w:ascii="宋体" w:hAnsi="宋体" w:cs="方正仿宋_GBK"/>
          <w:color w:val="auto"/>
          <w:sz w:val="24"/>
          <w:highlight w:val="none"/>
        </w:rPr>
      </w:r>
      <w:r/>
    </w:p>
    <w:p>
      <w:pPr>
        <w:ind w:firstLine="720"/>
        <w:jc w:val="left"/>
        <w:rPr>
          <w:rFonts w:hint="eastAsia" w:ascii="宋体" w:hAnsi="宋体" w:eastAsia="宋体" w:cs="方正仿宋_GBK"/>
          <w:color w:val="auto"/>
          <w:sz w:val="24"/>
          <w:highlight w:val="none"/>
          <w:lang w:eastAsia="zh-CN"/>
        </w:rPr>
      </w:pPr>
      <w:r>
        <w:rPr>
          <w:rFonts w:hint="eastAsia" w:ascii="宋体" w:hAnsi="宋体" w:cs="方正仿宋_GBK"/>
          <w:color w:val="auto"/>
          <w:sz w:val="24"/>
          <w:highlight w:val="none"/>
          <w:lang w:val="en-US" w:eastAsia="zh-CN"/>
        </w:rPr>
        <w:t xml:space="preserve">项目</w:t>
      </w:r>
      <w:r>
        <w:rPr>
          <w:rFonts w:hint="eastAsia" w:ascii="宋体" w:hAnsi="宋体" w:cs="方正仿宋_GBK"/>
          <w:color w:val="auto"/>
          <w:sz w:val="24"/>
          <w:highlight w:val="none"/>
        </w:rPr>
        <w:t xml:space="preserve">编号：</w:t>
      </w:r>
      <w:r>
        <w:rPr>
          <w:rFonts w:hint="eastAsia" w:ascii="宋体" w:hAnsi="宋体" w:cs="方正仿宋_GBK"/>
          <w:color w:val="auto"/>
          <w:sz w:val="24"/>
          <w:highlight w:val="none"/>
          <w:lang w:val="en-US" w:eastAsia="zh-CN"/>
        </w:rPr>
        <w:t xml:space="preserve"> </w:t>
      </w:r>
      <w:r/>
    </w:p>
    <w:p>
      <w:pPr>
        <w:ind w:firstLine="720"/>
        <w:jc w:val="left"/>
        <w:rPr>
          <w:rFonts w:hint="eastAsia" w:ascii="宋体" w:hAnsi="宋体" w:cs="方正仿宋_GBK"/>
          <w:color w:val="auto"/>
          <w:sz w:val="24"/>
          <w:highlight w:val="none"/>
        </w:rPr>
      </w:pPr>
      <w:r>
        <w:rPr>
          <w:rFonts w:hint="eastAsia" w:ascii="宋体" w:hAnsi="宋体" w:cs="方正仿宋_GBK"/>
          <w:color w:val="auto"/>
          <w:sz w:val="24"/>
          <w:highlight w:val="none"/>
          <w:lang w:val="en-US" w:eastAsia="zh-CN"/>
        </w:rPr>
        <w:t xml:space="preserve">项目</w:t>
      </w:r>
      <w:r>
        <w:rPr>
          <w:rFonts w:hint="eastAsia" w:ascii="宋体" w:hAnsi="宋体" w:cs="方正仿宋_GBK"/>
          <w:color w:val="auto"/>
          <w:sz w:val="24"/>
          <w:highlight w:val="none"/>
        </w:rPr>
        <w:t xml:space="preserve">名称：</w:t>
      </w:r>
      <w:r/>
    </w:p>
    <w:p>
      <w:pPr>
        <w:rPr>
          <w:rFonts w:hint="eastAsia"/>
          <w:color w:val="auto"/>
          <w:highlight w:val="none"/>
        </w:rPr>
      </w:pPr>
      <w:r>
        <w:rPr>
          <w:rFonts w:hint="eastAsia"/>
          <w:color w:val="auto"/>
          <w:highlight w:val="none"/>
        </w:rPr>
      </w:r>
      <w:r/>
    </w:p>
    <w:tbl>
      <w:tblPr>
        <w:tblStyle w:val="877"/>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212"/>
        <w:gridCol w:w="1500"/>
        <w:gridCol w:w="1487"/>
        <w:gridCol w:w="1601"/>
        <w:gridCol w:w="1750"/>
      </w:tblGrid>
      <w:tr>
        <w:trPr>
          <w:cantSplit/>
          <w:jc w:val="center"/>
          <w:trHeight w:val="898"/>
        </w:trPr>
        <w:tc>
          <w:tcPr>
            <w:tcW w:w="896"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序号</w:t>
            </w:r>
            <w:r/>
          </w:p>
        </w:tc>
        <w:tc>
          <w:tcPr>
            <w:tcW w:w="2212"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产品、服务（标的）名称</w:t>
            </w:r>
            <w:r/>
          </w:p>
        </w:tc>
        <w:tc>
          <w:tcPr>
            <w:tcW w:w="1500"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服务人数（</w:t>
            </w:r>
            <w:r>
              <w:rPr>
                <w:rFonts w:hint="eastAsia" w:ascii="宋体" w:hAnsi="宋体" w:eastAsia="宋体" w:cs="Times New Roman"/>
                <w:color w:val="auto"/>
                <w:szCs w:val="21"/>
                <w:highlight w:val="none"/>
                <w:lang w:val="en-US" w:eastAsia="zh-CN"/>
              </w:rPr>
              <w:t xml:space="preserve">人</w:t>
            </w:r>
            <w:r>
              <w:rPr>
                <w:rFonts w:hint="eastAsia" w:ascii="宋体" w:hAnsi="宋体" w:eastAsia="Arial" w:cs="Times New Roman"/>
                <w:color w:val="auto"/>
                <w:szCs w:val="21"/>
                <w:highlight w:val="none"/>
              </w:rPr>
              <w:t xml:space="preserve">）</w:t>
            </w:r>
            <w:r/>
          </w:p>
        </w:tc>
        <w:tc>
          <w:tcPr>
            <w:tcW w:w="1487"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服务</w:t>
            </w:r>
            <w:r>
              <w:rPr>
                <w:rFonts w:hint="eastAsia" w:ascii="宋体" w:hAnsi="宋体" w:eastAsia="宋体" w:cs="Times New Roman"/>
                <w:color w:val="auto"/>
                <w:szCs w:val="21"/>
                <w:highlight w:val="none"/>
                <w:lang w:val="en-US" w:eastAsia="zh-CN"/>
              </w:rPr>
              <w:t xml:space="preserve">期限</w:t>
            </w:r>
            <w:r>
              <w:rPr>
                <w:rFonts w:hint="eastAsia" w:ascii="宋体" w:hAnsi="宋体" w:eastAsia="Arial" w:cs="Times New Roman"/>
                <w:color w:val="auto"/>
                <w:szCs w:val="21"/>
                <w:highlight w:val="none"/>
              </w:rPr>
              <w:t xml:space="preserve">（</w:t>
            </w:r>
            <w:r>
              <w:rPr>
                <w:rFonts w:hint="eastAsia" w:ascii="宋体" w:hAnsi="宋体" w:eastAsia="宋体" w:cs="Times New Roman"/>
                <w:color w:val="auto"/>
                <w:szCs w:val="21"/>
                <w:highlight w:val="none"/>
                <w:lang w:val="en-US" w:eastAsia="zh-CN"/>
              </w:rPr>
              <w:t xml:space="preserve">月</w:t>
            </w:r>
            <w:r>
              <w:rPr>
                <w:rFonts w:hint="eastAsia" w:ascii="宋体" w:hAnsi="宋体" w:eastAsia="Arial" w:cs="Times New Roman"/>
                <w:color w:val="auto"/>
                <w:szCs w:val="21"/>
                <w:highlight w:val="none"/>
              </w:rPr>
              <w:t xml:space="preserve">）</w:t>
            </w:r>
            <w:r/>
          </w:p>
        </w:tc>
        <w:tc>
          <w:tcPr>
            <w:tcW w:w="1601"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综合单价</w:t>
            </w:r>
            <w:r/>
          </w:p>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（人/</w:t>
            </w:r>
            <w:r>
              <w:rPr>
                <w:rFonts w:hint="eastAsia" w:ascii="宋体" w:hAnsi="宋体" w:eastAsia="宋体" w:cs="Times New Roman"/>
                <w:color w:val="auto"/>
                <w:szCs w:val="21"/>
                <w:highlight w:val="none"/>
                <w:lang w:val="en-US" w:eastAsia="zh-CN"/>
              </w:rPr>
              <w:t xml:space="preserve">月</w:t>
            </w:r>
            <w:r>
              <w:rPr>
                <w:rFonts w:hint="eastAsia" w:ascii="宋体" w:hAnsi="宋体" w:eastAsia="Arial" w:cs="Times New Roman"/>
                <w:color w:val="auto"/>
                <w:szCs w:val="21"/>
                <w:highlight w:val="none"/>
              </w:rPr>
              <w:t xml:space="preserve">/元）</w:t>
            </w:r>
            <w:r/>
          </w:p>
        </w:tc>
        <w:tc>
          <w:tcPr>
            <w:tcW w:w="1750"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合计金额=服务人数*</w:t>
            </w:r>
            <w:r>
              <w:rPr>
                <w:rFonts w:hint="eastAsia" w:ascii="宋体" w:hAnsi="宋体" w:eastAsia="宋体" w:cs="Times New Roman"/>
                <w:color w:val="auto"/>
                <w:szCs w:val="21"/>
                <w:highlight w:val="none"/>
                <w:lang w:val="en-US" w:eastAsia="zh-CN"/>
              </w:rPr>
              <w:t xml:space="preserve">月</w:t>
            </w:r>
            <w:r>
              <w:rPr>
                <w:rFonts w:hint="eastAsia" w:ascii="宋体" w:hAnsi="宋体" w:eastAsia="Arial" w:cs="Times New Roman"/>
                <w:color w:val="auto"/>
                <w:szCs w:val="21"/>
                <w:highlight w:val="none"/>
              </w:rPr>
              <w:t xml:space="preserve">数*综合单价</w:t>
            </w:r>
            <w:r/>
          </w:p>
        </w:tc>
      </w:tr>
      <w:tr>
        <w:trPr>
          <w:cantSplit/>
          <w:jc w:val="center"/>
          <w:trHeight w:val="501"/>
        </w:trPr>
        <w:tc>
          <w:tcPr>
            <w:tcW w:w="896" w:type="dxa"/>
            <w:vAlign w:val="center"/>
            <w:textDirection w:val="lrTb"/>
            <w:noWrap w:val="false"/>
          </w:tcPr>
          <w:p>
            <w:pPr>
              <w:jc w:val="center"/>
              <w:spacing w:line="560" w:lineRule="exact"/>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1</w:t>
            </w:r>
            <w:r/>
          </w:p>
        </w:tc>
        <w:tc>
          <w:tcPr>
            <w:tcW w:w="2212" w:type="dxa"/>
            <w:vAlign w:val="center"/>
            <w:textDirection w:val="lrTb"/>
            <w:noWrap w:val="false"/>
          </w:tcPr>
          <w:p>
            <w:pPr>
              <w:jc w:val="center"/>
              <w:spacing w:line="560" w:lineRule="exact"/>
              <w:rPr>
                <w:rFonts w:ascii="宋体" w:hAnsi="宋体" w:eastAsia="Arial" w:cs="Times New Roman"/>
                <w:color w:val="auto"/>
                <w:szCs w:val="21"/>
                <w:highlight w:val="none"/>
              </w:rPr>
            </w:pPr>
            <w:r>
              <w:rPr>
                <w:rFonts w:hint="eastAsia" w:ascii="宋体" w:hAnsi="宋体" w:eastAsia="Arial" w:cs="Times New Roman"/>
                <w:color w:val="auto"/>
                <w:szCs w:val="21"/>
                <w:highlight w:val="none"/>
                <w:lang w:eastAsia="zh-CN"/>
              </w:rPr>
              <w:t xml:space="preserve">2026-2027年灌云县残疾人寄宿制托养服务（重度残疾人）</w:t>
            </w:r>
            <w:r/>
          </w:p>
        </w:tc>
        <w:tc>
          <w:tcPr>
            <w:tcW w:w="1500"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40</w:t>
            </w:r>
            <w:r/>
          </w:p>
        </w:tc>
        <w:tc>
          <w:tcPr>
            <w:tcW w:w="1487"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12</w:t>
            </w:r>
            <w:r/>
          </w:p>
        </w:tc>
        <w:tc>
          <w:tcPr>
            <w:tcW w:w="1601" w:type="dxa"/>
            <w:vAlign w:val="center"/>
            <w:textDirection w:val="lrTb"/>
            <w:noWrap w:val="false"/>
          </w:tcPr>
          <w:p>
            <w:pPr>
              <w:jc w:val="center"/>
              <w:spacing w:line="560" w:lineRule="exact"/>
              <w:rPr>
                <w:rFonts w:ascii="宋体" w:hAnsi="宋体" w:eastAsia="Arial" w:cs="Times New Roman"/>
                <w:color w:val="auto"/>
                <w:szCs w:val="21"/>
                <w:highlight w:val="none"/>
              </w:rPr>
            </w:pPr>
            <w:r>
              <w:rPr>
                <w:rFonts w:ascii="宋体" w:hAnsi="宋体" w:eastAsia="Arial" w:cs="Times New Roman"/>
                <w:color w:val="auto"/>
                <w:szCs w:val="21"/>
                <w:highlight w:val="none"/>
              </w:rPr>
            </w:r>
            <w:r/>
          </w:p>
        </w:tc>
        <w:tc>
          <w:tcPr>
            <w:tcW w:w="1750" w:type="dxa"/>
            <w:vAlign w:val="center"/>
            <w:textDirection w:val="lrTb"/>
            <w:noWrap w:val="false"/>
          </w:tcPr>
          <w:p>
            <w:pPr>
              <w:jc w:val="center"/>
              <w:spacing w:line="560" w:lineRule="exact"/>
              <w:rPr>
                <w:rFonts w:ascii="宋体" w:hAnsi="宋体" w:eastAsia="Arial" w:cs="Times New Roman"/>
                <w:color w:val="auto"/>
                <w:szCs w:val="21"/>
                <w:highlight w:val="none"/>
              </w:rPr>
            </w:pPr>
            <w:r>
              <w:rPr>
                <w:rFonts w:ascii="宋体" w:hAnsi="宋体" w:eastAsia="Arial" w:cs="Times New Roman"/>
                <w:color w:val="auto"/>
                <w:szCs w:val="21"/>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2</w:t>
            </w:r>
            <w:r/>
          </w:p>
        </w:tc>
        <w:tc>
          <w:tcPr>
            <w:tcW w:w="2212"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hint="eastAsia" w:ascii="宋体" w:hAnsi="宋体" w:eastAsia="Arial" w:cs="Times New Roman"/>
                <w:color w:val="auto"/>
                <w:szCs w:val="21"/>
                <w:highlight w:val="none"/>
                <w:lang w:eastAsia="zh-CN"/>
              </w:rPr>
              <w:t xml:space="preserve">2026-2027年灌云县残疾人寄宿制托养服务（</w:t>
            </w:r>
            <w:r>
              <w:rPr>
                <w:rFonts w:hint="eastAsia" w:ascii="宋体" w:hAnsi="宋体" w:eastAsia="Arial" w:cs="Times New Roman"/>
                <w:color w:val="auto"/>
                <w:szCs w:val="21"/>
                <w:highlight w:val="none"/>
                <w:lang w:val="en-US" w:eastAsia="zh-CN"/>
              </w:rPr>
              <w:t xml:space="preserve">轻度残疾人</w:t>
            </w:r>
            <w:r>
              <w:rPr>
                <w:rFonts w:hint="eastAsia" w:ascii="宋体" w:hAnsi="宋体" w:eastAsia="Arial" w:cs="Times New Roman"/>
                <w:color w:val="auto"/>
                <w:szCs w:val="21"/>
                <w:highlight w:val="none"/>
                <w:lang w:eastAsia="zh-CN"/>
              </w:rPr>
              <w:t xml:space="preserve">）</w:t>
            </w:r>
            <w:r/>
          </w:p>
        </w:tc>
        <w:tc>
          <w:tcPr>
            <w:tcW w:w="1500"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60</w:t>
            </w:r>
            <w:r/>
          </w:p>
        </w:tc>
        <w:tc>
          <w:tcPr>
            <w:tcW w:w="1487"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12</w:t>
            </w:r>
            <w:r/>
          </w:p>
        </w:tc>
        <w:tc>
          <w:tcPr>
            <w:tcW w:w="1601"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750"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2212"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500"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487"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601"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750"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r>
      <w:tr>
        <w:trPr>
          <w:cantSplit/>
          <w:jc w:val="center"/>
          <w:trHeight w:val="501"/>
        </w:trPr>
        <w:tc>
          <w:tcPr>
            <w:gridSpan w:val="5"/>
            <w:tcW w:w="7696"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hint="eastAsia" w:ascii="宋体" w:hAnsi="宋体" w:eastAsia="Arial" w:cs="Times New Roman"/>
                <w:color w:val="auto"/>
                <w:sz w:val="24"/>
                <w:szCs w:val="22"/>
                <w:highlight w:val="none"/>
              </w:rPr>
              <w:t xml:space="preserve">总计（元）</w:t>
            </w:r>
            <w:r/>
          </w:p>
        </w:tc>
        <w:tc>
          <w:tcPr>
            <w:tcW w:w="1750"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r>
    </w:tbl>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Style w:val="1140"/>
        <w:ind w:firstLine="480"/>
        <w:jc w:val="left"/>
        <w:spacing w:line="560" w:lineRule="exact"/>
        <w:rPr>
          <w:rFonts w:hint="eastAsia"/>
          <w:b w:val="0"/>
          <w:color w:val="auto"/>
          <w:highlight w:val="none"/>
        </w:rPr>
      </w:pPr>
      <w:r>
        <w:rPr>
          <w:rFonts w:hint="eastAsia" w:ascii="宋体" w:hAnsi="宋体"/>
          <w:bCs/>
          <w:color w:val="auto"/>
          <w:sz w:val="24"/>
          <w:highlight w:val="none"/>
          <w:lang w:val="en-US" w:eastAsia="zh-CN"/>
        </w:rPr>
        <w:t xml:space="preserve">                   </w:t>
      </w:r>
      <w:r>
        <w:rPr>
          <w:rFonts w:hint="eastAsia"/>
          <w:b w:val="0"/>
          <w:color w:val="auto"/>
          <w:highlight w:val="none"/>
          <w:lang w:val="en-US" w:eastAsia="zh-CN"/>
        </w:rPr>
        <w:t xml:space="preserve">   </w:t>
      </w:r>
      <w:r>
        <w:rPr>
          <w:rFonts w:hint="eastAsia"/>
          <w:b w:val="0"/>
          <w:color w:val="auto"/>
          <w:highlight w:val="none"/>
        </w:rPr>
        <w:t xml:space="preserve">供应商（盖章）：</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法定代表人或委托代理人（签字或盖章）：</w:t>
      </w:r>
      <w:r/>
    </w:p>
    <w:p>
      <w:pPr>
        <w:pStyle w:val="1140"/>
        <w:ind w:firstLine="480"/>
        <w:jc w:val="left"/>
        <w:spacing w:line="560" w:lineRule="exact"/>
        <w:rPr>
          <w:rFonts w:hint="eastAsia"/>
          <w:b w:val="0"/>
          <w:color w:val="auto"/>
          <w:highlight w:val="none"/>
        </w:rPr>
      </w:pPr>
      <w:r>
        <w:rPr>
          <w:rFonts w:hint="eastAsia"/>
          <w:b w:val="0"/>
          <w:color w:val="auto"/>
          <w:highlight w:val="none"/>
          <w:lang w:val="en-US" w:eastAsia="zh-CN"/>
        </w:rPr>
        <w:t xml:space="preserve">                       </w:t>
      </w:r>
      <w:r>
        <w:rPr>
          <w:rFonts w:hint="eastAsia"/>
          <w:b w:val="0"/>
          <w:color w:val="auto"/>
          <w:highlight w:val="none"/>
        </w:rPr>
        <w:t xml:space="preserve">日期：    年     月     日</w:t>
      </w:r>
      <w:r/>
    </w:p>
    <w:p>
      <w:pPr>
        <w:pStyle w:val="1140"/>
        <w:ind w:firstLine="480"/>
        <w:jc w:val="left"/>
        <w:spacing w:line="560" w:lineRule="exact"/>
        <w:rPr>
          <w:rFonts w:hint="eastAsia"/>
          <w:b w:val="0"/>
          <w:color w:val="auto"/>
          <w:highlight w:val="none"/>
        </w:rPr>
      </w:pPr>
      <w:r>
        <w:rPr>
          <w:rFonts w:hint="eastAsia"/>
          <w:b w:val="0"/>
          <w:color w:val="auto"/>
          <w:highlight w:val="none"/>
        </w:rPr>
      </w:r>
      <w:r/>
    </w:p>
    <w:p>
      <w:pPr>
        <w:pStyle w:val="1157"/>
        <w:rPr>
          <w:rFonts w:hAnsi="宋体"/>
          <w:b/>
          <w:bCs/>
          <w:color w:val="auto"/>
          <w:highlight w:val="none"/>
        </w:rPr>
      </w:pPr>
      <w:r>
        <w:rPr>
          <w:rFonts w:hAnsi="宋体"/>
          <w:b/>
          <w:bCs/>
          <w:color w:val="auto"/>
          <w:highlight w:val="none"/>
        </w:rPr>
      </w:r>
      <w:r/>
    </w:p>
    <w:p>
      <w:pPr>
        <w:ind w:firstLine="422"/>
        <w:jc w:val="left"/>
        <w:spacing w:line="360" w:lineRule="auto"/>
        <w:rPr>
          <w:rFonts w:hint="eastAsia" w:hAnsi="宋体"/>
          <w:b/>
          <w:bCs/>
          <w:color w:val="auto"/>
          <w:highlight w:val="none"/>
          <w:lang w:eastAsia="zh-CN"/>
        </w:rPr>
      </w:pPr>
      <w:r>
        <w:rPr>
          <w:rFonts w:hint="eastAsia" w:hAnsi="宋体"/>
          <w:b/>
          <w:bCs/>
          <w:color w:val="auto"/>
          <w:highlight w:val="none"/>
        </w:rPr>
        <w:t xml:space="preserve">注：</w:t>
      </w:r>
      <w:r>
        <w:rPr>
          <w:rFonts w:hint="eastAsia" w:hAnsi="宋体"/>
          <w:b/>
          <w:bCs/>
          <w:color w:val="auto"/>
          <w:highlight w:val="none"/>
          <w:lang w:eastAsia="zh-CN"/>
        </w:rPr>
        <w:t xml:space="preserve">（</w:t>
      </w:r>
      <w:r>
        <w:rPr>
          <w:rFonts w:hint="eastAsia" w:hAnsi="宋体"/>
          <w:b/>
          <w:bCs/>
          <w:color w:val="auto"/>
          <w:highlight w:val="none"/>
          <w:lang w:val="en-US" w:eastAsia="zh-CN"/>
        </w:rPr>
        <w:t xml:space="preserve">1</w:t>
      </w:r>
      <w:r>
        <w:rPr>
          <w:rFonts w:hint="eastAsia" w:hAnsi="宋体"/>
          <w:b/>
          <w:bCs/>
          <w:color w:val="auto"/>
          <w:highlight w:val="none"/>
          <w:lang w:eastAsia="zh-CN"/>
        </w:rPr>
        <w:t xml:space="preserve">）</w:t>
      </w:r>
      <w:r>
        <w:rPr>
          <w:rFonts w:hint="eastAsia" w:hAnsi="宋体"/>
          <w:b/>
          <w:bCs/>
          <w:color w:val="auto"/>
          <w:highlight w:val="none"/>
          <w:lang w:val="en-US" w:eastAsia="zh-CN"/>
        </w:rPr>
        <w:t xml:space="preserve">重度残疾人3300 元/人/月，轻度残疾人1800元/人/月，单价报价超过以上最高限价的按无效响应处理。</w:t>
      </w:r>
      <w:r/>
    </w:p>
    <w:p>
      <w:pPr>
        <w:ind w:firstLine="422"/>
        <w:jc w:val="left"/>
        <w:spacing w:line="360" w:lineRule="auto"/>
        <w:rPr>
          <w:rFonts w:hint="eastAsia" w:ascii="宋体" w:hAnsi="宋体"/>
          <w:bCs/>
          <w:color w:val="auto"/>
          <w:sz w:val="24"/>
          <w:highlight w:val="none"/>
        </w:rPr>
      </w:pPr>
      <w:r>
        <w:rPr>
          <w:rFonts w:hint="eastAsia" w:hAnsi="宋体"/>
          <w:b/>
          <w:bCs/>
          <w:color w:val="auto"/>
          <w:highlight w:val="none"/>
          <w:lang w:eastAsia="zh-CN"/>
        </w:rPr>
        <w:t xml:space="preserve">（</w:t>
      </w:r>
      <w:r>
        <w:rPr>
          <w:rFonts w:hint="eastAsia" w:hAnsi="宋体"/>
          <w:b/>
          <w:bCs/>
          <w:color w:val="auto"/>
          <w:highlight w:val="none"/>
          <w:lang w:val="en-US" w:eastAsia="zh-CN"/>
        </w:rPr>
        <w:t xml:space="preserve">2</w:t>
      </w:r>
      <w:r>
        <w:rPr>
          <w:rFonts w:hint="eastAsia" w:hAnsi="宋体"/>
          <w:b/>
          <w:bCs/>
          <w:color w:val="auto"/>
          <w:highlight w:val="none"/>
          <w:lang w:eastAsia="zh-CN"/>
        </w:rPr>
        <w:t xml:space="preserve">）</w:t>
      </w:r>
      <w:r>
        <w:rPr>
          <w:rFonts w:hint="eastAsia" w:hAnsi="宋体"/>
          <w:b/>
          <w:bCs/>
          <w:color w:val="auto"/>
          <w:highlight w:val="none"/>
        </w:rPr>
        <w:t xml:space="preserve">未按照本开标一览表的格式要求填写的，将造成非实质性响应。</w:t>
      </w:r>
      <w:r/>
    </w:p>
    <w:p>
      <w:pPr>
        <w:rPr>
          <w:color w:val="auto"/>
          <w:sz w:val="36"/>
          <w:szCs w:val="22"/>
          <w:highlight w:val="none"/>
          <w:u w:val="single"/>
        </w:rPr>
      </w:pPr>
      <w:r>
        <w:rPr>
          <w:color w:val="auto"/>
          <w:sz w:val="36"/>
          <w:szCs w:val="22"/>
          <w:highlight w:val="none"/>
          <w:u w:val="single"/>
        </w:rPr>
        <w:br w:type="page" w:clear="all"/>
      </w:r>
      <w:r/>
    </w:p>
    <w:p>
      <w:pPr>
        <w:jc w:val="both"/>
        <w:spacing w:before="286" w:after="286"/>
        <w:rPr>
          <w:rFonts w:hint="eastAsia"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 xml:space="preserve">十</w:t>
      </w:r>
      <w:r>
        <w:rPr>
          <w:rFonts w:hint="eastAsia" w:cs="Times New Roman"/>
          <w:color w:val="auto"/>
          <w:sz w:val="36"/>
          <w:szCs w:val="22"/>
          <w:highlight w:val="none"/>
          <w:u w:val="single"/>
          <w:lang w:val="en-US" w:eastAsia="zh-CN" w:bidi="ar-SA"/>
        </w:rPr>
        <w:t xml:space="preserve">四</w:t>
      </w:r>
      <w:r>
        <w:rPr>
          <w:rFonts w:hint="eastAsia" w:ascii="Times New Roman" w:hAnsi="Times New Roman" w:eastAsia="宋体" w:cs="Times New Roman"/>
          <w:color w:val="auto"/>
          <w:sz w:val="36"/>
          <w:szCs w:val="22"/>
          <w:highlight w:val="none"/>
          <w:u w:val="single"/>
          <w:lang w:val="en-US" w:eastAsia="zh-CN" w:bidi="ar-SA"/>
        </w:rPr>
        <w:t xml:space="preserve">、技术要求响应及偏离表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eastAsia="宋体" w:cs="Arial"/>
          <w:color w:val="auto"/>
          <w:sz w:val="36"/>
          <w:szCs w:val="22"/>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8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rPr>
              <w:t xml:space="preserve">文件要求</w:t>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供应商公章：</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法定代表人或其委托代理人签字（或盖章）： 　　 </w:t>
      </w:r>
      <w:r/>
    </w:p>
    <w:p>
      <w:pPr>
        <w:pStyle w:val="1140"/>
        <w:ind w:firstLine="480"/>
        <w:jc w:val="left"/>
        <w:spacing w:line="560" w:lineRule="exact"/>
        <w:rPr>
          <w:rFonts w:hint="default" w:eastAsia="宋体"/>
          <w:b w:val="0"/>
          <w:color w:val="auto"/>
          <w:highlight w:val="none"/>
          <w:lang w:val="en-US" w:eastAsia="zh-CN"/>
        </w:rPr>
      </w:pPr>
      <w:r>
        <w:rPr>
          <w:rFonts w:hint="eastAsia"/>
          <w:b w:val="0"/>
          <w:color w:val="auto"/>
          <w:highlight w:val="none"/>
        </w:rPr>
        <w:t xml:space="preserve">日期：</w:t>
      </w:r>
      <w:r>
        <w:rPr>
          <w:rFonts w:hint="eastAsia"/>
          <w:b w:val="0"/>
          <w:color w:val="auto"/>
          <w:highlight w:val="none"/>
          <w:lang w:val="en-US" w:eastAsia="zh-CN"/>
        </w:rPr>
        <w:t xml:space="preserve">  年  月  日</w:t>
      </w:r>
      <w:r/>
    </w:p>
    <w:p>
      <w:pPr>
        <w:pStyle w:val="1140"/>
        <w:ind w:firstLine="480"/>
        <w:jc w:val="left"/>
        <w:spacing w:line="560" w:lineRule="exact"/>
        <w:rPr>
          <w:rFonts w:hint="eastAsia"/>
          <w:b w:val="0"/>
          <w:color w:val="auto"/>
          <w:highlight w:val="none"/>
        </w:rPr>
      </w:pPr>
      <w:r>
        <w:rPr>
          <w:rFonts w:hint="eastAsia"/>
          <w:b w:val="0"/>
          <w:color w:val="auto"/>
          <w:highlight w:val="none"/>
        </w:rPr>
      </w:r>
      <w:r/>
    </w:p>
    <w:p>
      <w:pPr>
        <w:pStyle w:val="1140"/>
        <w:ind w:firstLine="480"/>
        <w:jc w:val="left"/>
        <w:spacing w:line="560" w:lineRule="exact"/>
        <w:rPr>
          <w:rFonts w:hint="eastAsia"/>
          <w:b w:val="0"/>
          <w:color w:val="auto"/>
          <w:highlight w:val="none"/>
        </w:rPr>
      </w:pPr>
      <w:r>
        <w:rPr>
          <w:rFonts w:hint="eastAsia"/>
          <w:b w:val="0"/>
          <w:color w:val="auto"/>
          <w:highlight w:val="none"/>
        </w:rPr>
        <w:br w:type="page" w:clear="all"/>
      </w:r>
      <w:r/>
    </w:p>
    <w:p>
      <w:pPr>
        <w:jc w:val="both"/>
        <w:spacing w:before="286" w:after="286"/>
        <w:rPr>
          <w:rFonts w:hint="eastAsia"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 xml:space="preserve">十</w:t>
      </w:r>
      <w:r>
        <w:rPr>
          <w:rFonts w:hint="eastAsia" w:cs="Times New Roman"/>
          <w:color w:val="auto"/>
          <w:sz w:val="36"/>
          <w:szCs w:val="22"/>
          <w:highlight w:val="none"/>
          <w:u w:val="single"/>
          <w:lang w:val="en-US" w:eastAsia="zh-CN" w:bidi="ar-SA"/>
        </w:rPr>
        <w:t xml:space="preserve">五</w:t>
      </w:r>
      <w:r>
        <w:rPr>
          <w:rFonts w:hint="eastAsia" w:ascii="Times New Roman" w:hAnsi="Times New Roman" w:eastAsia="宋体" w:cs="Times New Roman"/>
          <w:color w:val="auto"/>
          <w:sz w:val="36"/>
          <w:szCs w:val="22"/>
          <w:highlight w:val="none"/>
          <w:u w:val="single"/>
          <w:lang w:val="en-US" w:eastAsia="zh-CN" w:bidi="ar-SA"/>
        </w:rPr>
        <w:t xml:space="preserve">、商务要求响应及偏离表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rFonts w:ascii="Calibri" w:hAnsi="Calibri" w:eastAsia="Arial" w:cs="Times New Roman"/>
          <w:color w:val="auto"/>
          <w:szCs w:val="22"/>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87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rPr>
              <w:t xml:space="preserve">文件要求</w:t>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供应商公章：</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法定代表人或其委托代理人签字（或盖章）： 　　 </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日期：</w:t>
      </w:r>
      <w:r>
        <w:rPr>
          <w:rFonts w:hint="eastAsia" w:ascii="Times New Roman" w:eastAsia="宋体"/>
          <w:b w:val="0"/>
          <w:color w:val="auto"/>
          <w:highlight w:val="none"/>
          <w:lang w:val="en-US" w:eastAsia="zh-CN"/>
        </w:rPr>
        <w:t xml:space="preserve">  年  月  日</w:t>
      </w:r>
      <w:r/>
    </w:p>
    <w:p>
      <w:pPr>
        <w:ind w:firstLine="480"/>
        <w:jc w:val="right"/>
        <w:spacing w:line="500" w:lineRule="exact"/>
        <w:rPr>
          <w:color w:val="auto"/>
          <w:sz w:val="24"/>
          <w:highlight w:val="none"/>
        </w:rPr>
      </w:pPr>
      <w:r>
        <w:rPr>
          <w:color w:val="auto"/>
          <w:sz w:val="24"/>
          <w:highlight w:val="none"/>
        </w:rPr>
      </w:r>
      <w:r/>
    </w:p>
    <w:p>
      <w:pPr>
        <w:rPr>
          <w:color w:val="auto"/>
          <w:sz w:val="24"/>
          <w:highlight w:val="none"/>
        </w:rPr>
      </w:pPr>
      <w:r>
        <w:rPr>
          <w:color w:val="auto"/>
          <w:sz w:val="24"/>
          <w:highlight w:val="none"/>
        </w:rPr>
        <w:br w:type="page" w:clear="all"/>
      </w:r>
      <w:r/>
    </w:p>
    <w:p>
      <w:pPr>
        <w:jc w:val="left"/>
        <w:keepLines/>
        <w:keepNext/>
        <w:spacing w:before="360" w:after="200" w:line="360" w:lineRule="auto"/>
        <w:rPr>
          <w:iCs/>
          <w:color w:val="auto"/>
          <w:sz w:val="36"/>
          <w:szCs w:val="22"/>
          <w:highlight w:val="none"/>
          <w:u w:val="single"/>
        </w:rPr>
        <w:outlineLvl w:val="1"/>
      </w:pPr>
      <w:r>
        <w:rPr>
          <w:iCs/>
          <w:color w:val="auto"/>
          <w:sz w:val="36"/>
          <w:szCs w:val="22"/>
          <w:highlight w:val="none"/>
          <w:u w:val="single"/>
        </w:rPr>
        <w:t xml:space="preserve">十</w:t>
      </w:r>
      <w:r>
        <w:rPr>
          <w:rFonts w:hint="eastAsia"/>
          <w:iCs/>
          <w:color w:val="auto"/>
          <w:sz w:val="36"/>
          <w:szCs w:val="22"/>
          <w:highlight w:val="none"/>
          <w:u w:val="single"/>
          <w:lang w:val="en-US" w:eastAsia="zh-CN"/>
        </w:rPr>
        <w:t xml:space="preserve">六</w:t>
      </w:r>
      <w:r>
        <w:rPr>
          <w:iCs/>
          <w:color w:val="auto"/>
          <w:sz w:val="36"/>
          <w:szCs w:val="22"/>
          <w:highlight w:val="none"/>
          <w:u w:val="single"/>
        </w:rPr>
        <w:t xml:space="preserve">、类似项目业绩一览表</w:t>
      </w:r>
      <w:r/>
    </w:p>
    <w:p>
      <w:pPr>
        <w:jc w:val="center"/>
        <w:spacing w:line="360" w:lineRule="auto"/>
        <w:tabs>
          <w:tab w:val="left" w:pos="360" w:leader="none"/>
        </w:tabs>
        <w:rPr>
          <w:rFonts w:eastAsia="黑体"/>
          <w:bCs/>
          <w:color w:val="auto"/>
          <w:sz w:val="36"/>
          <w:szCs w:val="28"/>
          <w:highlight w:val="none"/>
        </w:rPr>
      </w:pPr>
      <w:r>
        <w:rPr>
          <w:rFonts w:eastAsia="黑体"/>
          <w:bCs/>
          <w:color w:val="auto"/>
          <w:sz w:val="36"/>
          <w:szCs w:val="28"/>
          <w:highlight w:val="none"/>
        </w:rPr>
        <w:t xml:space="preserve">类似项目业绩一览表</w:t>
      </w:r>
      <w:r/>
    </w:p>
    <w:p>
      <w:pPr>
        <w:jc w:val="left"/>
        <w:spacing w:line="360" w:lineRule="auto"/>
        <w:rPr>
          <w:color w:val="auto"/>
          <w:sz w:val="24"/>
          <w:highlight w:val="none"/>
        </w:rPr>
      </w:pPr>
      <w:r>
        <w:rPr>
          <w:color w:val="auto"/>
          <w:sz w:val="24"/>
          <w:highlight w:val="none"/>
        </w:rPr>
        <w:t xml:space="preserve">项目名称：         </w:t>
      </w:r>
      <w:r/>
    </w:p>
    <w:p>
      <w:pPr>
        <w:jc w:val="left"/>
        <w:spacing w:line="360" w:lineRule="auto"/>
        <w:rPr>
          <w:rFonts w:eastAsia="Arial"/>
          <w:color w:val="auto"/>
          <w:szCs w:val="22"/>
          <w:highlight w:val="none"/>
        </w:rPr>
      </w:pPr>
      <w:r>
        <w:rPr>
          <w:color w:val="auto"/>
          <w:sz w:val="24"/>
          <w:highlight w:val="none"/>
        </w:rPr>
        <w:t xml:space="preserve">项目编号：     </w:t>
      </w:r>
      <w:r/>
    </w:p>
    <w:tbl>
      <w:tblPr>
        <w:tblStyle w:val="877"/>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2353"/>
        <w:gridCol w:w="1902"/>
        <w:gridCol w:w="1567"/>
        <w:gridCol w:w="2015"/>
      </w:tblGrid>
      <w:tr>
        <w:trPr>
          <w:cantSplit/>
          <w:jc w:val="center"/>
          <w:trHeight w:val="424"/>
        </w:trPr>
        <w:tc>
          <w:tcPr>
            <w:tcW w:w="1060"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2353" w:type="dxa"/>
            <w:vAlign w:val="center"/>
            <w:textDirection w:val="lrTb"/>
            <w:noWrap w:val="false"/>
          </w:tcPr>
          <w:p>
            <w:pPr>
              <w:jc w:val="center"/>
              <w:rPr>
                <w:color w:val="auto"/>
                <w:sz w:val="24"/>
                <w:highlight w:val="none"/>
              </w:rPr>
            </w:pPr>
            <w:r>
              <w:rPr>
                <w:color w:val="auto"/>
                <w:sz w:val="24"/>
                <w:highlight w:val="none"/>
              </w:rPr>
              <w:t xml:space="preserve">项目名称</w:t>
            </w:r>
            <w:r/>
          </w:p>
        </w:tc>
        <w:tc>
          <w:tcPr>
            <w:tcW w:w="1902" w:type="dxa"/>
            <w:vAlign w:val="center"/>
            <w:textDirection w:val="lrTb"/>
            <w:noWrap w:val="false"/>
          </w:tcPr>
          <w:p>
            <w:pPr>
              <w:jc w:val="center"/>
              <w:rPr>
                <w:color w:val="auto"/>
                <w:sz w:val="24"/>
                <w:highlight w:val="none"/>
              </w:rPr>
            </w:pPr>
            <w:r>
              <w:rPr>
                <w:color w:val="auto"/>
                <w:sz w:val="24"/>
                <w:highlight w:val="none"/>
              </w:rPr>
              <w:t xml:space="preserve">签订时间</w:t>
            </w:r>
            <w:r/>
          </w:p>
        </w:tc>
        <w:tc>
          <w:tcPr>
            <w:tcW w:w="1567" w:type="dxa"/>
            <w:vAlign w:val="center"/>
            <w:textDirection w:val="lrTb"/>
            <w:noWrap w:val="false"/>
          </w:tcPr>
          <w:p>
            <w:pPr>
              <w:jc w:val="center"/>
              <w:rPr>
                <w:color w:val="auto"/>
                <w:sz w:val="24"/>
                <w:highlight w:val="none"/>
              </w:rPr>
            </w:pPr>
            <w:r>
              <w:rPr>
                <w:color w:val="auto"/>
                <w:sz w:val="24"/>
                <w:highlight w:val="none"/>
              </w:rPr>
              <w:t xml:space="preserve">采购单位</w:t>
            </w:r>
            <w:r/>
          </w:p>
        </w:tc>
        <w:tc>
          <w:tcPr>
            <w:tcW w:w="2015" w:type="dxa"/>
            <w:vAlign w:val="center"/>
            <w:textDirection w:val="lrTb"/>
            <w:noWrap w:val="false"/>
          </w:tcPr>
          <w:p>
            <w:pPr>
              <w:jc w:val="center"/>
              <w:rPr>
                <w:color w:val="auto"/>
                <w:sz w:val="24"/>
                <w:highlight w:val="none"/>
              </w:rPr>
            </w:pPr>
            <w:r>
              <w:rPr>
                <w:color w:val="auto"/>
                <w:sz w:val="24"/>
                <w:highlight w:val="none"/>
              </w:rPr>
              <w:t xml:space="preserve">主要标的</w:t>
            </w:r>
            <w:r/>
          </w:p>
        </w:tc>
      </w:tr>
      <w:tr>
        <w:trPr>
          <w:cantSplit/>
          <w:jc w:val="center"/>
          <w:trHeight w:val="859"/>
        </w:trPr>
        <w:tc>
          <w:tcPr>
            <w:tcW w:w="1060" w:type="dxa"/>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1</w:t>
            </w:r>
            <w:r/>
          </w:p>
        </w:tc>
        <w:tc>
          <w:tcPr>
            <w:tcW w:w="2353" w:type="dxa"/>
            <w:vAlign w:val="center"/>
            <w:textDirection w:val="lrTb"/>
            <w:noWrap w:val="false"/>
          </w:tcPr>
          <w:p>
            <w:pPr>
              <w:jc w:val="center"/>
              <w:rPr>
                <w:color w:val="auto"/>
                <w:sz w:val="24"/>
                <w:highlight w:val="none"/>
              </w:rPr>
            </w:pPr>
            <w:r>
              <w:rPr>
                <w:color w:val="auto"/>
                <w:sz w:val="24"/>
                <w:highlight w:val="none"/>
              </w:rPr>
            </w:r>
            <w:r/>
          </w:p>
        </w:tc>
        <w:tc>
          <w:tcPr>
            <w:tcW w:w="1902" w:type="dxa"/>
            <w:textDirection w:val="lrTb"/>
            <w:noWrap w:val="false"/>
          </w:tcPr>
          <w:p>
            <w:pPr>
              <w:jc w:val="center"/>
              <w:rPr>
                <w:color w:val="auto"/>
                <w:sz w:val="24"/>
                <w:highlight w:val="none"/>
              </w:rPr>
            </w:pPr>
            <w:r>
              <w:rPr>
                <w:color w:val="auto"/>
                <w:sz w:val="24"/>
                <w:highlight w:val="none"/>
              </w:rPr>
            </w:r>
            <w:r/>
          </w:p>
        </w:tc>
        <w:tc>
          <w:tcPr>
            <w:tcW w:w="1567" w:type="dxa"/>
            <w:vAlign w:val="center"/>
            <w:textDirection w:val="lrTb"/>
            <w:noWrap w:val="false"/>
          </w:tcPr>
          <w:p>
            <w:pPr>
              <w:jc w:val="center"/>
              <w:rPr>
                <w:color w:val="auto"/>
                <w:sz w:val="24"/>
                <w:highlight w:val="none"/>
              </w:rPr>
            </w:pPr>
            <w:r>
              <w:rPr>
                <w:color w:val="auto"/>
                <w:sz w:val="24"/>
                <w:highlight w:val="none"/>
              </w:rPr>
            </w:r>
            <w:r/>
          </w:p>
        </w:tc>
        <w:tc>
          <w:tcPr>
            <w:tcW w:w="201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859"/>
        </w:trPr>
        <w:tc>
          <w:tcPr>
            <w:tcW w:w="1060" w:type="dxa"/>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2</w:t>
            </w:r>
            <w:r/>
          </w:p>
        </w:tc>
        <w:tc>
          <w:tcPr>
            <w:tcW w:w="2353" w:type="dxa"/>
            <w:vAlign w:val="center"/>
            <w:textDirection w:val="lrTb"/>
            <w:noWrap w:val="false"/>
          </w:tcPr>
          <w:p>
            <w:pPr>
              <w:jc w:val="center"/>
              <w:rPr>
                <w:color w:val="auto"/>
                <w:sz w:val="24"/>
                <w:highlight w:val="none"/>
              </w:rPr>
            </w:pPr>
            <w:r>
              <w:rPr>
                <w:color w:val="auto"/>
                <w:sz w:val="24"/>
                <w:highlight w:val="none"/>
              </w:rPr>
            </w:r>
            <w:r/>
          </w:p>
        </w:tc>
        <w:tc>
          <w:tcPr>
            <w:tcW w:w="1902" w:type="dxa"/>
            <w:textDirection w:val="lrTb"/>
            <w:noWrap w:val="false"/>
          </w:tcPr>
          <w:p>
            <w:pPr>
              <w:jc w:val="center"/>
              <w:rPr>
                <w:color w:val="auto"/>
                <w:sz w:val="24"/>
                <w:highlight w:val="none"/>
              </w:rPr>
            </w:pPr>
            <w:r>
              <w:rPr>
                <w:color w:val="auto"/>
                <w:sz w:val="24"/>
                <w:highlight w:val="none"/>
              </w:rPr>
            </w:r>
            <w:r/>
          </w:p>
        </w:tc>
        <w:tc>
          <w:tcPr>
            <w:tcW w:w="1567" w:type="dxa"/>
            <w:vAlign w:val="center"/>
            <w:textDirection w:val="lrTb"/>
            <w:noWrap w:val="false"/>
          </w:tcPr>
          <w:p>
            <w:pPr>
              <w:jc w:val="center"/>
              <w:rPr>
                <w:color w:val="auto"/>
                <w:sz w:val="24"/>
                <w:highlight w:val="none"/>
              </w:rPr>
            </w:pPr>
            <w:r>
              <w:rPr>
                <w:color w:val="auto"/>
                <w:sz w:val="24"/>
                <w:highlight w:val="none"/>
              </w:rPr>
            </w:r>
            <w:r/>
          </w:p>
        </w:tc>
        <w:tc>
          <w:tcPr>
            <w:tcW w:w="201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872"/>
        </w:trPr>
        <w:tc>
          <w:tcPr>
            <w:tcW w:w="1060" w:type="dxa"/>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3</w:t>
            </w:r>
            <w:r/>
          </w:p>
        </w:tc>
        <w:tc>
          <w:tcPr>
            <w:tcW w:w="2353" w:type="dxa"/>
            <w:vAlign w:val="center"/>
            <w:textDirection w:val="lrTb"/>
            <w:noWrap w:val="false"/>
          </w:tcPr>
          <w:p>
            <w:pPr>
              <w:jc w:val="center"/>
              <w:rPr>
                <w:color w:val="auto"/>
                <w:sz w:val="24"/>
                <w:highlight w:val="none"/>
              </w:rPr>
            </w:pPr>
            <w:r>
              <w:rPr>
                <w:color w:val="auto"/>
                <w:sz w:val="24"/>
                <w:highlight w:val="none"/>
              </w:rPr>
            </w:r>
            <w:r/>
          </w:p>
        </w:tc>
        <w:tc>
          <w:tcPr>
            <w:tcW w:w="1902" w:type="dxa"/>
            <w:textDirection w:val="lrTb"/>
            <w:noWrap w:val="false"/>
          </w:tcPr>
          <w:p>
            <w:pPr>
              <w:jc w:val="center"/>
              <w:rPr>
                <w:color w:val="auto"/>
                <w:sz w:val="24"/>
                <w:highlight w:val="none"/>
              </w:rPr>
            </w:pPr>
            <w:r>
              <w:rPr>
                <w:color w:val="auto"/>
                <w:sz w:val="24"/>
                <w:highlight w:val="none"/>
              </w:rPr>
            </w:r>
            <w:r/>
          </w:p>
        </w:tc>
        <w:tc>
          <w:tcPr>
            <w:tcW w:w="1567" w:type="dxa"/>
            <w:vAlign w:val="center"/>
            <w:textDirection w:val="lrTb"/>
            <w:noWrap w:val="false"/>
          </w:tcPr>
          <w:p>
            <w:pPr>
              <w:jc w:val="center"/>
              <w:rPr>
                <w:color w:val="auto"/>
                <w:sz w:val="24"/>
                <w:highlight w:val="none"/>
              </w:rPr>
            </w:pPr>
            <w:r>
              <w:rPr>
                <w:color w:val="auto"/>
                <w:sz w:val="24"/>
                <w:highlight w:val="none"/>
              </w:rPr>
            </w:r>
            <w:r/>
          </w:p>
        </w:tc>
        <w:tc>
          <w:tcPr>
            <w:tcW w:w="201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872"/>
        </w:trPr>
        <w:tc>
          <w:tcPr>
            <w:tcW w:w="1060" w:type="dxa"/>
            <w:vAlign w:val="center"/>
            <w:textDirection w:val="lrTb"/>
            <w:noWrap w:val="false"/>
          </w:tcPr>
          <w:p>
            <w:pPr>
              <w:jc w:val="center"/>
              <w:rPr>
                <w:rFonts w:hint="default"/>
                <w:color w:val="auto"/>
                <w:sz w:val="24"/>
                <w:highlight w:val="none"/>
                <w:lang w:val="en-US" w:eastAsia="zh-CN"/>
              </w:rPr>
            </w:pPr>
            <w:r>
              <w:rPr>
                <w:rFonts w:hint="eastAsia"/>
                <w:color w:val="auto"/>
                <w:sz w:val="24"/>
                <w:highlight w:val="none"/>
                <w:lang w:val="en-US" w:eastAsia="zh-CN"/>
              </w:rPr>
              <w:t xml:space="preserve">.....</w:t>
            </w:r>
            <w:r/>
          </w:p>
        </w:tc>
        <w:tc>
          <w:tcPr>
            <w:tcW w:w="2353" w:type="dxa"/>
            <w:vAlign w:val="center"/>
            <w:textDirection w:val="lrTb"/>
            <w:noWrap w:val="false"/>
          </w:tcPr>
          <w:p>
            <w:pPr>
              <w:jc w:val="center"/>
              <w:rPr>
                <w:color w:val="auto"/>
                <w:sz w:val="24"/>
                <w:highlight w:val="none"/>
              </w:rPr>
            </w:pPr>
            <w:r>
              <w:rPr>
                <w:color w:val="auto"/>
                <w:sz w:val="24"/>
                <w:highlight w:val="none"/>
              </w:rPr>
            </w:r>
            <w:r/>
          </w:p>
        </w:tc>
        <w:tc>
          <w:tcPr>
            <w:tcW w:w="1902" w:type="dxa"/>
            <w:textDirection w:val="lrTb"/>
            <w:noWrap w:val="false"/>
          </w:tcPr>
          <w:p>
            <w:pPr>
              <w:jc w:val="center"/>
              <w:rPr>
                <w:color w:val="auto"/>
                <w:sz w:val="24"/>
                <w:highlight w:val="none"/>
              </w:rPr>
            </w:pPr>
            <w:r>
              <w:rPr>
                <w:color w:val="auto"/>
                <w:sz w:val="24"/>
                <w:highlight w:val="none"/>
              </w:rPr>
            </w:r>
            <w:r/>
          </w:p>
        </w:tc>
        <w:tc>
          <w:tcPr>
            <w:tcW w:w="1567" w:type="dxa"/>
            <w:vAlign w:val="center"/>
            <w:textDirection w:val="lrTb"/>
            <w:noWrap w:val="false"/>
          </w:tcPr>
          <w:p>
            <w:pPr>
              <w:jc w:val="center"/>
              <w:rPr>
                <w:color w:val="auto"/>
                <w:sz w:val="24"/>
                <w:highlight w:val="none"/>
              </w:rPr>
            </w:pPr>
            <w:r>
              <w:rPr>
                <w:color w:val="auto"/>
                <w:sz w:val="24"/>
                <w:highlight w:val="none"/>
              </w:rPr>
            </w:r>
            <w:r/>
          </w:p>
        </w:tc>
        <w:tc>
          <w:tcPr>
            <w:tcW w:w="2015" w:type="dxa"/>
            <w:vAlign w:val="center"/>
            <w:textDirection w:val="lrTb"/>
            <w:noWrap w:val="false"/>
          </w:tcPr>
          <w:p>
            <w:pPr>
              <w:jc w:val="center"/>
              <w:rPr>
                <w:color w:val="auto"/>
                <w:sz w:val="24"/>
                <w:highlight w:val="none"/>
              </w:rPr>
            </w:pPr>
            <w:r>
              <w:rPr>
                <w:color w:val="auto"/>
                <w:sz w:val="24"/>
                <w:highlight w:val="none"/>
              </w:rPr>
            </w:r>
            <w:r/>
          </w:p>
        </w:tc>
      </w:tr>
    </w:tbl>
    <w:p>
      <w:pPr>
        <w:ind w:firstLine="480"/>
        <w:spacing w:line="500" w:lineRule="exact"/>
        <w:rPr>
          <w:rFonts w:hint="default" w:eastAsia="宋体"/>
          <w:color w:val="auto"/>
          <w:sz w:val="24"/>
          <w:highlight w:val="none"/>
          <w:lang w:val="en-US" w:eastAsia="zh-CN"/>
        </w:rPr>
      </w:pPr>
      <w:r>
        <w:rPr>
          <w:rFonts w:hint="eastAsia"/>
          <w:color w:val="auto"/>
          <w:sz w:val="24"/>
          <w:highlight w:val="none"/>
          <w:lang w:val="en-US" w:eastAsia="zh-CN"/>
        </w:rPr>
        <w:t xml:space="preserve">请将相关证明材料作为附件附于此页面后面。</w:t>
      </w:r>
      <w:r/>
    </w:p>
    <w:p>
      <w:pPr>
        <w:ind w:firstLine="480"/>
        <w:spacing w:line="500" w:lineRule="exact"/>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t xml:space="preserve">供应商（盖章）：</w:t>
      </w:r>
      <w:r/>
    </w:p>
    <w:p>
      <w:pPr>
        <w:ind w:firstLine="480"/>
        <w:spacing w:line="360" w:lineRule="auto"/>
        <w:rPr>
          <w:color w:val="auto"/>
          <w:sz w:val="24"/>
          <w:highlight w:val="none"/>
        </w:rPr>
      </w:pPr>
      <w:r>
        <w:rPr>
          <w:color w:val="auto"/>
          <w:sz w:val="24"/>
          <w:highlight w:val="none"/>
        </w:rPr>
        <w:t xml:space="preserve">法定代表人（单位负责人）或委托代理人（签字或盖章）：</w:t>
      </w:r>
      <w:r/>
    </w:p>
    <w:p>
      <w:pPr>
        <w:ind w:firstLine="480"/>
        <w:spacing w:line="500" w:lineRule="exact"/>
        <w:rPr>
          <w:color w:val="auto"/>
          <w:sz w:val="24"/>
          <w:highlight w:val="none"/>
        </w:rPr>
      </w:pPr>
      <w:r>
        <w:rPr>
          <w:color w:val="auto"/>
          <w:sz w:val="24"/>
          <w:highlight w:val="none"/>
        </w:rPr>
        <w:t xml:space="preserve">日期：    年     月     日</w:t>
      </w:r>
      <w:r/>
    </w:p>
    <w:p>
      <w:pPr>
        <w:rPr>
          <w:iCs/>
          <w:color w:val="auto"/>
          <w:sz w:val="36"/>
          <w:szCs w:val="22"/>
          <w:highlight w:val="none"/>
        </w:rPr>
      </w:pPr>
      <w:r>
        <w:rPr>
          <w:iCs/>
          <w:color w:val="auto"/>
          <w:sz w:val="36"/>
          <w:szCs w:val="22"/>
          <w:highlight w:val="none"/>
        </w:rPr>
        <w:br w:type="page" w:clear="all"/>
      </w:r>
      <w:r/>
    </w:p>
    <w:p>
      <w:pPr>
        <w:jc w:val="left"/>
        <w:keepLines/>
        <w:keepNext/>
        <w:spacing w:before="360" w:after="200" w:line="360" w:lineRule="auto"/>
        <w:rPr>
          <w:iCs/>
          <w:color w:val="auto"/>
          <w:sz w:val="36"/>
          <w:szCs w:val="22"/>
          <w:highlight w:val="none"/>
          <w:u w:val="single"/>
        </w:rPr>
        <w:outlineLvl w:val="1"/>
      </w:pPr>
      <w:r>
        <w:rPr>
          <w:iCs/>
          <w:color w:val="auto"/>
          <w:sz w:val="36"/>
          <w:szCs w:val="22"/>
          <w:highlight w:val="none"/>
          <w:u w:val="single"/>
        </w:rPr>
        <w:t xml:space="preserve">十</w:t>
      </w:r>
      <w:r>
        <w:rPr>
          <w:rFonts w:hint="eastAsia"/>
          <w:iCs/>
          <w:color w:val="auto"/>
          <w:sz w:val="36"/>
          <w:szCs w:val="22"/>
          <w:highlight w:val="none"/>
          <w:u w:val="single"/>
          <w:lang w:val="en-US" w:eastAsia="zh-CN"/>
        </w:rPr>
        <w:t xml:space="preserve">七</w:t>
      </w:r>
      <w:r>
        <w:rPr>
          <w:iCs/>
          <w:color w:val="auto"/>
          <w:sz w:val="36"/>
          <w:szCs w:val="22"/>
          <w:highlight w:val="none"/>
          <w:u w:val="single"/>
        </w:rPr>
        <w:t xml:space="preserve">、项目团队人员一览表</w:t>
      </w:r>
      <w:r/>
    </w:p>
    <w:p>
      <w:pPr>
        <w:jc w:val="center"/>
        <w:spacing w:line="360" w:lineRule="auto"/>
        <w:tabs>
          <w:tab w:val="left" w:pos="360" w:leader="none"/>
        </w:tabs>
        <w:rPr>
          <w:rFonts w:eastAsia="黑体"/>
          <w:bCs/>
          <w:color w:val="auto"/>
          <w:sz w:val="36"/>
          <w:szCs w:val="28"/>
          <w:highlight w:val="none"/>
        </w:rPr>
      </w:pPr>
      <w:r>
        <w:rPr>
          <w:rFonts w:eastAsia="黑体"/>
          <w:bCs/>
          <w:color w:val="auto"/>
          <w:sz w:val="36"/>
          <w:szCs w:val="28"/>
          <w:highlight w:val="none"/>
        </w:rPr>
        <w:t xml:space="preserve">项目团队人员一览表</w:t>
      </w:r>
      <w:r/>
    </w:p>
    <w:p>
      <w:pPr>
        <w:jc w:val="left"/>
        <w:spacing w:line="360" w:lineRule="auto"/>
        <w:rPr>
          <w:color w:val="auto"/>
          <w:sz w:val="24"/>
          <w:highlight w:val="none"/>
        </w:rPr>
      </w:pPr>
      <w:r>
        <w:rPr>
          <w:color w:val="auto"/>
          <w:sz w:val="24"/>
          <w:highlight w:val="none"/>
        </w:rPr>
        <w:t xml:space="preserve">项目名称：          </w:t>
      </w:r>
      <w:r/>
    </w:p>
    <w:p>
      <w:pPr>
        <w:jc w:val="left"/>
        <w:spacing w:line="360" w:lineRule="auto"/>
        <w:rPr>
          <w:rFonts w:eastAsia="Arial"/>
          <w:color w:val="auto"/>
          <w:szCs w:val="22"/>
          <w:highlight w:val="none"/>
        </w:rPr>
      </w:pPr>
      <w:r>
        <w:rPr>
          <w:color w:val="auto"/>
          <w:sz w:val="24"/>
          <w:highlight w:val="none"/>
        </w:rPr>
        <w:t xml:space="preserve">项目编号：     </w:t>
      </w:r>
      <w:r/>
    </w:p>
    <w:tbl>
      <w:tblPr>
        <w:tblStyle w:val="877"/>
        <w:tblW w:w="91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357"/>
        <w:gridCol w:w="1759"/>
        <w:gridCol w:w="1694"/>
        <w:gridCol w:w="1193"/>
        <w:gridCol w:w="1119"/>
        <w:gridCol w:w="1275"/>
      </w:tblGrid>
      <w:tr>
        <w:trPr>
          <w:cantSplit/>
          <w:jc w:val="center"/>
        </w:trPr>
        <w:tc>
          <w:tcPr>
            <w:tcW w:w="76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57" w:type="dxa"/>
            <w:vAlign w:val="center"/>
            <w:textDirection w:val="lrTb"/>
            <w:noWrap w:val="false"/>
          </w:tcPr>
          <w:p>
            <w:pPr>
              <w:jc w:val="center"/>
              <w:rPr>
                <w:color w:val="auto"/>
                <w:sz w:val="24"/>
                <w:highlight w:val="none"/>
              </w:rPr>
            </w:pPr>
            <w:r>
              <w:rPr>
                <w:color w:val="auto"/>
                <w:sz w:val="24"/>
                <w:highlight w:val="none"/>
              </w:rPr>
              <w:t xml:space="preserve">姓名</w:t>
            </w:r>
            <w:r/>
          </w:p>
        </w:tc>
        <w:tc>
          <w:tcPr>
            <w:tcW w:w="1759" w:type="dxa"/>
            <w:vAlign w:val="center"/>
            <w:textDirection w:val="lrTb"/>
            <w:noWrap w:val="false"/>
          </w:tcPr>
          <w:p>
            <w:pPr>
              <w:jc w:val="center"/>
              <w:rPr>
                <w:color w:val="auto"/>
                <w:sz w:val="24"/>
                <w:highlight w:val="none"/>
              </w:rPr>
            </w:pPr>
            <w:r>
              <w:rPr>
                <w:color w:val="auto"/>
                <w:sz w:val="24"/>
                <w:highlight w:val="none"/>
              </w:rPr>
              <w:t xml:space="preserve">本项目拟担任职务（岗位）</w:t>
            </w:r>
            <w:r/>
          </w:p>
        </w:tc>
        <w:tc>
          <w:tcPr>
            <w:tcW w:w="1694" w:type="dxa"/>
            <w:vAlign w:val="center"/>
            <w:textDirection w:val="lrTb"/>
            <w:noWrap w:val="false"/>
          </w:tcPr>
          <w:p>
            <w:pPr>
              <w:jc w:val="center"/>
              <w:rPr>
                <w:rFonts w:hint="eastAsia" w:eastAsia="宋体"/>
                <w:color w:val="auto"/>
                <w:sz w:val="24"/>
                <w:highlight w:val="none"/>
                <w:lang w:val="en-US" w:eastAsia="zh-CN"/>
              </w:rPr>
            </w:pPr>
            <w:r>
              <w:rPr>
                <w:color w:val="auto"/>
                <w:sz w:val="24"/>
                <w:highlight w:val="none"/>
              </w:rPr>
              <w:t xml:space="preserve">技术职称</w:t>
            </w:r>
            <w:r>
              <w:rPr>
                <w:rFonts w:hint="eastAsia"/>
                <w:color w:val="auto"/>
                <w:sz w:val="24"/>
                <w:highlight w:val="none"/>
                <w:lang w:val="en-US" w:eastAsia="zh-CN"/>
              </w:rPr>
              <w:t xml:space="preserve">、</w:t>
            </w:r>
            <w:r>
              <w:rPr>
                <w:rFonts w:hint="eastAsia" w:ascii="宋体" w:hAnsi="宋体" w:eastAsia="宋体" w:cs="Times New Roman"/>
                <w:color w:val="auto"/>
                <w:sz w:val="24"/>
                <w:szCs w:val="24"/>
                <w:highlight w:val="none"/>
              </w:rPr>
              <w:t xml:space="preserve">专业资质</w:t>
            </w:r>
            <w:r/>
          </w:p>
        </w:tc>
        <w:tc>
          <w:tcPr>
            <w:tcW w:w="1193" w:type="dxa"/>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学历</w:t>
            </w:r>
            <w:r/>
          </w:p>
        </w:tc>
        <w:tc>
          <w:tcPr>
            <w:tcW w:w="1119" w:type="dxa"/>
            <w:vAlign w:val="center"/>
            <w:textDirection w:val="lrTb"/>
            <w:noWrap w:val="false"/>
          </w:tcPr>
          <w:p>
            <w:pPr>
              <w:jc w:val="center"/>
              <w:rPr>
                <w:rFonts w:hint="default"/>
                <w:color w:val="auto"/>
                <w:sz w:val="24"/>
                <w:highlight w:val="none"/>
                <w:lang w:val="en-US" w:eastAsia="zh-CN"/>
              </w:rPr>
            </w:pPr>
            <w:r>
              <w:rPr>
                <w:rFonts w:hint="eastAsia"/>
                <w:color w:val="auto"/>
                <w:sz w:val="24"/>
                <w:highlight w:val="none"/>
                <w:lang w:val="en-US" w:eastAsia="zh-CN"/>
              </w:rPr>
              <w:t xml:space="preserve">年龄</w:t>
            </w:r>
            <w:r/>
          </w:p>
        </w:tc>
        <w:tc>
          <w:tcPr>
            <w:tcW w:w="1275" w:type="dxa"/>
            <w:vAlign w:val="center"/>
            <w:textDirection w:val="lrTb"/>
            <w:noWrap w:val="false"/>
          </w:tcPr>
          <w:p>
            <w:pPr>
              <w:jc w:val="center"/>
              <w:rPr>
                <w:color w:val="auto"/>
                <w:sz w:val="24"/>
                <w:highlight w:val="none"/>
              </w:rPr>
            </w:pPr>
            <w:r>
              <w:rPr>
                <w:color w:val="auto"/>
                <w:sz w:val="24"/>
                <w:highlight w:val="none"/>
              </w:rPr>
              <w:t xml:space="preserve">备注</w:t>
            </w:r>
            <w:r/>
          </w:p>
        </w:tc>
      </w:tr>
      <w:tr>
        <w:trPr>
          <w:cantSplit/>
          <w:jc w:val="center"/>
          <w:trHeight w:val="640"/>
        </w:trPr>
        <w:tc>
          <w:tcPr>
            <w:tcW w:w="764" w:type="dxa"/>
            <w:vAlign w:val="center"/>
            <w:textDirection w:val="lrTb"/>
            <w:noWrap w:val="false"/>
          </w:tcPr>
          <w:p>
            <w:pPr>
              <w:jc w:val="center"/>
              <w:rPr>
                <w:color w:val="auto"/>
                <w:sz w:val="24"/>
                <w:highlight w:val="none"/>
              </w:rPr>
            </w:pPr>
            <w:r>
              <w:rPr>
                <w:color w:val="auto"/>
                <w:sz w:val="24"/>
                <w:highlight w:val="none"/>
              </w:rPr>
            </w:r>
            <w:r/>
          </w:p>
        </w:tc>
        <w:tc>
          <w:tcPr>
            <w:tcW w:w="1357" w:type="dxa"/>
            <w:vAlign w:val="center"/>
            <w:textDirection w:val="lrTb"/>
            <w:noWrap w:val="false"/>
          </w:tcPr>
          <w:p>
            <w:pPr>
              <w:jc w:val="center"/>
              <w:rPr>
                <w:color w:val="auto"/>
                <w:sz w:val="24"/>
                <w:highlight w:val="none"/>
              </w:rPr>
            </w:pPr>
            <w:r>
              <w:rPr>
                <w:color w:val="auto"/>
                <w:sz w:val="24"/>
                <w:highlight w:val="none"/>
              </w:rPr>
            </w:r>
            <w:r/>
          </w:p>
        </w:tc>
        <w:tc>
          <w:tcPr>
            <w:tcW w:w="1759" w:type="dxa"/>
            <w:vAlign w:val="center"/>
            <w:textDirection w:val="lrTb"/>
            <w:noWrap w:val="false"/>
          </w:tcPr>
          <w:p>
            <w:pPr>
              <w:jc w:val="center"/>
              <w:rPr>
                <w:color w:val="auto"/>
                <w:sz w:val="24"/>
                <w:highlight w:val="none"/>
              </w:rPr>
            </w:pPr>
            <w:r>
              <w:rPr>
                <w:color w:val="auto"/>
                <w:sz w:val="24"/>
                <w:highlight w:val="none"/>
              </w:rPr>
            </w:r>
            <w:r/>
          </w:p>
        </w:tc>
        <w:tc>
          <w:tcPr>
            <w:tcW w:w="1694" w:type="dxa"/>
            <w:textDirection w:val="lrTb"/>
            <w:noWrap w:val="false"/>
          </w:tcPr>
          <w:p>
            <w:pPr>
              <w:jc w:val="center"/>
              <w:rPr>
                <w:color w:val="auto"/>
                <w:sz w:val="24"/>
                <w:highlight w:val="none"/>
              </w:rPr>
            </w:pPr>
            <w:r>
              <w:rPr>
                <w:color w:val="auto"/>
                <w:sz w:val="24"/>
                <w:highlight w:val="none"/>
              </w:rPr>
            </w:r>
            <w:r/>
          </w:p>
        </w:tc>
        <w:tc>
          <w:tcPr>
            <w:tcW w:w="1193" w:type="dxa"/>
            <w:vAlign w:val="center"/>
            <w:textDirection w:val="lrTb"/>
            <w:noWrap w:val="false"/>
          </w:tcPr>
          <w:p>
            <w:pPr>
              <w:jc w:val="center"/>
              <w:rPr>
                <w:color w:val="auto"/>
                <w:sz w:val="24"/>
                <w:highlight w:val="none"/>
              </w:rPr>
            </w:pPr>
            <w:r>
              <w:rPr>
                <w:color w:val="auto"/>
                <w:sz w:val="24"/>
                <w:highlight w:val="none"/>
              </w:rPr>
            </w:r>
            <w:r/>
          </w:p>
        </w:tc>
        <w:tc>
          <w:tcPr>
            <w:tcW w:w="1119" w:type="dxa"/>
            <w:vAlign w:val="center"/>
            <w:textDirection w:val="lrTb"/>
            <w:noWrap w:val="false"/>
          </w:tcPr>
          <w:p>
            <w:pPr>
              <w:jc w:val="center"/>
              <w:rPr>
                <w:color w:val="auto"/>
                <w:sz w:val="24"/>
                <w:highlight w:val="none"/>
              </w:rPr>
            </w:pPr>
            <w:r>
              <w:rPr>
                <w:color w:val="auto"/>
                <w:sz w:val="24"/>
                <w:highlight w:val="none"/>
              </w:rPr>
            </w:r>
            <w:r/>
          </w:p>
        </w:tc>
        <w:tc>
          <w:tcPr>
            <w:tcW w:w="127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640"/>
        </w:trPr>
        <w:tc>
          <w:tcPr>
            <w:tcW w:w="764" w:type="dxa"/>
            <w:vAlign w:val="center"/>
            <w:textDirection w:val="lrTb"/>
            <w:noWrap w:val="false"/>
          </w:tcPr>
          <w:p>
            <w:pPr>
              <w:jc w:val="center"/>
              <w:rPr>
                <w:color w:val="auto"/>
                <w:sz w:val="24"/>
                <w:highlight w:val="none"/>
              </w:rPr>
            </w:pPr>
            <w:r>
              <w:rPr>
                <w:color w:val="auto"/>
                <w:sz w:val="24"/>
                <w:highlight w:val="none"/>
              </w:rPr>
            </w:r>
            <w:r/>
          </w:p>
        </w:tc>
        <w:tc>
          <w:tcPr>
            <w:tcW w:w="1357" w:type="dxa"/>
            <w:vAlign w:val="center"/>
            <w:textDirection w:val="lrTb"/>
            <w:noWrap w:val="false"/>
          </w:tcPr>
          <w:p>
            <w:pPr>
              <w:jc w:val="center"/>
              <w:rPr>
                <w:color w:val="auto"/>
                <w:sz w:val="24"/>
                <w:highlight w:val="none"/>
              </w:rPr>
            </w:pPr>
            <w:r>
              <w:rPr>
                <w:color w:val="auto"/>
                <w:sz w:val="24"/>
                <w:highlight w:val="none"/>
              </w:rPr>
            </w:r>
            <w:r/>
          </w:p>
        </w:tc>
        <w:tc>
          <w:tcPr>
            <w:tcW w:w="1759" w:type="dxa"/>
            <w:textDirection w:val="lrTb"/>
            <w:noWrap w:val="false"/>
          </w:tcPr>
          <w:p>
            <w:pPr>
              <w:jc w:val="center"/>
              <w:rPr>
                <w:color w:val="auto"/>
                <w:sz w:val="24"/>
                <w:highlight w:val="none"/>
              </w:rPr>
            </w:pPr>
            <w:r>
              <w:rPr>
                <w:color w:val="auto"/>
                <w:sz w:val="24"/>
                <w:highlight w:val="none"/>
              </w:rPr>
            </w:r>
            <w:r/>
          </w:p>
        </w:tc>
        <w:tc>
          <w:tcPr>
            <w:tcW w:w="1694" w:type="dxa"/>
            <w:vAlign w:val="center"/>
            <w:textDirection w:val="lrTb"/>
            <w:noWrap w:val="false"/>
          </w:tcPr>
          <w:p>
            <w:pPr>
              <w:jc w:val="center"/>
              <w:rPr>
                <w:color w:val="auto"/>
                <w:sz w:val="24"/>
                <w:highlight w:val="none"/>
              </w:rPr>
            </w:pPr>
            <w:r>
              <w:rPr>
                <w:color w:val="auto"/>
                <w:sz w:val="24"/>
                <w:highlight w:val="none"/>
              </w:rPr>
            </w:r>
            <w:r/>
          </w:p>
        </w:tc>
        <w:tc>
          <w:tcPr>
            <w:tcW w:w="1193" w:type="dxa"/>
            <w:vAlign w:val="center"/>
            <w:textDirection w:val="lrTb"/>
            <w:noWrap w:val="false"/>
          </w:tcPr>
          <w:p>
            <w:pPr>
              <w:jc w:val="center"/>
              <w:rPr>
                <w:color w:val="auto"/>
                <w:sz w:val="24"/>
                <w:highlight w:val="none"/>
              </w:rPr>
            </w:pPr>
            <w:r>
              <w:rPr>
                <w:color w:val="auto"/>
                <w:sz w:val="24"/>
                <w:highlight w:val="none"/>
              </w:rPr>
            </w:r>
            <w:r/>
          </w:p>
        </w:tc>
        <w:tc>
          <w:tcPr>
            <w:tcW w:w="1119" w:type="dxa"/>
            <w:vAlign w:val="center"/>
            <w:textDirection w:val="lrTb"/>
            <w:noWrap w:val="false"/>
          </w:tcPr>
          <w:p>
            <w:pPr>
              <w:jc w:val="center"/>
              <w:rPr>
                <w:color w:val="auto"/>
                <w:sz w:val="24"/>
                <w:highlight w:val="none"/>
              </w:rPr>
            </w:pPr>
            <w:r>
              <w:rPr>
                <w:color w:val="auto"/>
                <w:sz w:val="24"/>
                <w:highlight w:val="none"/>
              </w:rPr>
            </w:r>
            <w:r/>
          </w:p>
        </w:tc>
        <w:tc>
          <w:tcPr>
            <w:tcW w:w="127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640"/>
        </w:trPr>
        <w:tc>
          <w:tcPr>
            <w:tcW w:w="764" w:type="dxa"/>
            <w:vAlign w:val="center"/>
            <w:textDirection w:val="lrTb"/>
            <w:noWrap w:val="false"/>
          </w:tcPr>
          <w:p>
            <w:pPr>
              <w:jc w:val="center"/>
              <w:rPr>
                <w:color w:val="auto"/>
                <w:sz w:val="24"/>
                <w:highlight w:val="none"/>
              </w:rPr>
            </w:pPr>
            <w:r>
              <w:rPr>
                <w:color w:val="auto"/>
                <w:sz w:val="24"/>
                <w:highlight w:val="none"/>
              </w:rPr>
            </w:r>
            <w:r/>
          </w:p>
        </w:tc>
        <w:tc>
          <w:tcPr>
            <w:tcW w:w="1357" w:type="dxa"/>
            <w:vAlign w:val="center"/>
            <w:textDirection w:val="lrTb"/>
            <w:noWrap w:val="false"/>
          </w:tcPr>
          <w:p>
            <w:pPr>
              <w:jc w:val="center"/>
              <w:rPr>
                <w:color w:val="auto"/>
                <w:sz w:val="24"/>
                <w:highlight w:val="none"/>
              </w:rPr>
            </w:pPr>
            <w:r>
              <w:rPr>
                <w:color w:val="auto"/>
                <w:sz w:val="24"/>
                <w:highlight w:val="none"/>
              </w:rPr>
            </w:r>
            <w:r/>
          </w:p>
        </w:tc>
        <w:tc>
          <w:tcPr>
            <w:tcW w:w="1759" w:type="dxa"/>
            <w:textDirection w:val="lrTb"/>
            <w:noWrap w:val="false"/>
          </w:tcPr>
          <w:p>
            <w:pPr>
              <w:jc w:val="center"/>
              <w:rPr>
                <w:color w:val="auto"/>
                <w:sz w:val="24"/>
                <w:highlight w:val="none"/>
              </w:rPr>
            </w:pPr>
            <w:r>
              <w:rPr>
                <w:color w:val="auto"/>
                <w:sz w:val="24"/>
                <w:highlight w:val="none"/>
              </w:rPr>
            </w:r>
            <w:r/>
          </w:p>
        </w:tc>
        <w:tc>
          <w:tcPr>
            <w:tcW w:w="1694" w:type="dxa"/>
            <w:vAlign w:val="center"/>
            <w:textDirection w:val="lrTb"/>
            <w:noWrap w:val="false"/>
          </w:tcPr>
          <w:p>
            <w:pPr>
              <w:jc w:val="center"/>
              <w:rPr>
                <w:color w:val="auto"/>
                <w:sz w:val="24"/>
                <w:highlight w:val="none"/>
              </w:rPr>
            </w:pPr>
            <w:r>
              <w:rPr>
                <w:color w:val="auto"/>
                <w:sz w:val="24"/>
                <w:highlight w:val="none"/>
              </w:rPr>
            </w:r>
            <w:r/>
          </w:p>
        </w:tc>
        <w:tc>
          <w:tcPr>
            <w:tcW w:w="1193" w:type="dxa"/>
            <w:vAlign w:val="center"/>
            <w:textDirection w:val="lrTb"/>
            <w:noWrap w:val="false"/>
          </w:tcPr>
          <w:p>
            <w:pPr>
              <w:jc w:val="center"/>
              <w:rPr>
                <w:color w:val="auto"/>
                <w:sz w:val="24"/>
                <w:highlight w:val="none"/>
              </w:rPr>
            </w:pPr>
            <w:r>
              <w:rPr>
                <w:color w:val="auto"/>
                <w:sz w:val="24"/>
                <w:highlight w:val="none"/>
              </w:rPr>
            </w:r>
            <w:r/>
          </w:p>
        </w:tc>
        <w:tc>
          <w:tcPr>
            <w:tcW w:w="1119" w:type="dxa"/>
            <w:vAlign w:val="center"/>
            <w:textDirection w:val="lrTb"/>
            <w:noWrap w:val="false"/>
          </w:tcPr>
          <w:p>
            <w:pPr>
              <w:jc w:val="center"/>
              <w:rPr>
                <w:color w:val="auto"/>
                <w:sz w:val="24"/>
                <w:highlight w:val="none"/>
              </w:rPr>
            </w:pPr>
            <w:r>
              <w:rPr>
                <w:color w:val="auto"/>
                <w:sz w:val="24"/>
                <w:highlight w:val="none"/>
              </w:rPr>
            </w:r>
            <w:r/>
          </w:p>
        </w:tc>
        <w:tc>
          <w:tcPr>
            <w:tcW w:w="1275" w:type="dxa"/>
            <w:vAlign w:val="center"/>
            <w:textDirection w:val="lrTb"/>
            <w:noWrap w:val="false"/>
          </w:tcPr>
          <w:p>
            <w:pPr>
              <w:jc w:val="center"/>
              <w:rPr>
                <w:color w:val="auto"/>
                <w:sz w:val="24"/>
                <w:highlight w:val="none"/>
              </w:rPr>
            </w:pPr>
            <w:r>
              <w:rPr>
                <w:color w:val="auto"/>
                <w:sz w:val="24"/>
                <w:highlight w:val="none"/>
              </w:rPr>
            </w:r>
            <w:r/>
          </w:p>
        </w:tc>
      </w:tr>
    </w:tbl>
    <w:p>
      <w:pPr>
        <w:ind w:firstLine="480"/>
        <w:spacing w:line="500" w:lineRule="exact"/>
        <w:rPr>
          <w:rFonts w:hint="default" w:eastAsia="宋体"/>
          <w:color w:val="auto"/>
          <w:sz w:val="24"/>
          <w:highlight w:val="none"/>
          <w:lang w:val="en-US" w:eastAsia="zh-CN"/>
        </w:rPr>
      </w:pPr>
      <w:r>
        <w:rPr>
          <w:rFonts w:hint="eastAsia"/>
          <w:color w:val="auto"/>
          <w:sz w:val="24"/>
          <w:highlight w:val="none"/>
          <w:lang w:val="en-US" w:eastAsia="zh-CN"/>
        </w:rPr>
        <w:t xml:space="preserve">请将相关证明材料作为附件附于此页面后面。</w:t>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t xml:space="preserve">供应商（盖章）：</w:t>
      </w:r>
      <w:r/>
    </w:p>
    <w:p>
      <w:pPr>
        <w:ind w:firstLine="480"/>
        <w:spacing w:line="360" w:lineRule="auto"/>
        <w:rPr>
          <w:color w:val="auto"/>
          <w:sz w:val="24"/>
          <w:highlight w:val="none"/>
        </w:rPr>
      </w:pPr>
      <w:r>
        <w:rPr>
          <w:color w:val="auto"/>
          <w:sz w:val="24"/>
          <w:highlight w:val="none"/>
        </w:rPr>
        <w:t xml:space="preserve">法定代表人（单位负责人）或委托代理人（签字或盖章）：</w:t>
      </w:r>
      <w:r/>
    </w:p>
    <w:p>
      <w:pPr>
        <w:ind w:firstLine="480"/>
        <w:spacing w:line="500" w:lineRule="exact"/>
        <w:rPr>
          <w:color w:val="auto"/>
          <w:sz w:val="24"/>
          <w:highlight w:val="none"/>
        </w:rPr>
      </w:pPr>
      <w:r>
        <w:rPr>
          <w:color w:val="auto"/>
          <w:sz w:val="24"/>
          <w:highlight w:val="none"/>
        </w:rPr>
        <w:t xml:space="preserve">日期：    年     月     日</w:t>
      </w:r>
      <w:r/>
    </w:p>
    <w:p>
      <w:pPr>
        <w:jc w:val="left"/>
        <w:spacing w:line="360" w:lineRule="auto"/>
        <w:rPr>
          <w:color w:val="auto"/>
          <w:sz w:val="24"/>
          <w:highlight w:val="none"/>
        </w:rPr>
      </w:pPr>
      <w:r/>
      <w:bookmarkStart w:id="54" w:name="_Hlt26671374"/>
      <w:r/>
      <w:bookmarkEnd w:id="54"/>
      <w:r/>
      <w:bookmarkStart w:id="55" w:name="_格式2__法定代表人授权书"/>
      <w:r/>
      <w:bookmarkEnd w:id="55"/>
      <w:r/>
      <w:bookmarkStart w:id="56" w:name="_Hlt26955066"/>
      <w:r/>
      <w:bookmarkEnd w:id="56"/>
      <w:r/>
      <w:bookmarkStart w:id="57" w:name="_Hlt26609389"/>
      <w:r/>
      <w:bookmarkEnd w:id="57"/>
      <w:r>
        <w:rPr>
          <w:rFonts w:eastAsia="黑体"/>
          <w:bCs/>
          <w:color w:val="auto"/>
          <w:sz w:val="40"/>
          <w:szCs w:val="32"/>
          <w:highlight w:val="none"/>
        </w:rPr>
        <w:br w:type="page" w:clear="all"/>
      </w:r>
      <w:r/>
    </w:p>
    <w:p>
      <w:pPr>
        <w:jc w:val="left"/>
        <w:keepLines/>
        <w:keepNext/>
        <w:spacing w:before="360" w:after="200" w:line="360" w:lineRule="auto"/>
        <w:rPr>
          <w:rFonts w:hint="eastAsia"/>
          <w:iCs/>
          <w:color w:val="auto"/>
          <w:sz w:val="36"/>
          <w:szCs w:val="22"/>
          <w:highlight w:val="none"/>
          <w:u w:val="single"/>
          <w:lang w:val="en-US" w:eastAsia="zh-CN"/>
        </w:rPr>
        <w:outlineLvl w:val="1"/>
      </w:pPr>
      <w:r>
        <w:rPr>
          <w:rFonts w:hint="eastAsia"/>
          <w:iCs/>
          <w:color w:val="auto"/>
          <w:sz w:val="36"/>
          <w:szCs w:val="22"/>
          <w:highlight w:val="none"/>
          <w:u w:val="single"/>
          <w:lang w:val="en-US" w:eastAsia="zh-CN"/>
        </w:rPr>
        <w:t xml:space="preserve">十八、开标一览表</w:t>
      </w:r>
      <w:r/>
    </w:p>
    <w:p>
      <w:pPr>
        <w:jc w:val="center"/>
        <w:spacing w:line="360" w:lineRule="auto"/>
        <w:tabs>
          <w:tab w:val="left" w:pos="360" w:leader="none"/>
        </w:tabs>
        <w:rPr>
          <w:rFonts w:eastAsia="黑体"/>
          <w:bCs/>
          <w:color w:val="auto"/>
          <w:sz w:val="36"/>
          <w:szCs w:val="28"/>
          <w:highlight w:val="none"/>
        </w:rPr>
      </w:pPr>
      <w:r>
        <w:rPr>
          <w:rFonts w:hint="eastAsia" w:eastAsia="黑体"/>
          <w:bCs/>
          <w:color w:val="auto"/>
          <w:sz w:val="36"/>
          <w:szCs w:val="28"/>
          <w:highlight w:val="none"/>
        </w:rPr>
        <w:t xml:space="preserve">开标一览表</w:t>
      </w:r>
      <w:r/>
    </w:p>
    <w:p>
      <w:pPr>
        <w:jc w:val="left"/>
        <w:spacing w:line="360" w:lineRule="auto"/>
        <w:rPr>
          <w:rFonts w:ascii="Arial" w:hAnsi="Arial" w:eastAsia="宋体" w:cs="Arial"/>
          <w:color w:val="auto"/>
          <w:sz w:val="36"/>
          <w:szCs w:val="22"/>
          <w:highlight w:val="none"/>
        </w:rPr>
      </w:pPr>
      <w:r>
        <w:rPr>
          <w:rFonts w:hint="eastAsia" w:ascii="宋体" w:hAnsi="宋体" w:eastAsia="宋体" w:cs="方正仿宋_GBK"/>
          <w:color w:val="auto"/>
          <w:sz w:val="24"/>
          <w:szCs w:val="24"/>
          <w:highlight w:val="none"/>
        </w:rPr>
        <w:t xml:space="preserve">项目编号：      </w:t>
      </w:r>
      <w:r/>
    </w:p>
    <w:p>
      <w:pPr>
        <w:ind w:firstLine="480"/>
        <w:jc w:val="righ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917"/>
        <w:tblW w:w="9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25"/>
        <w:gridCol w:w="3127"/>
        <w:gridCol w:w="3127"/>
      </w:tblGrid>
      <w:tr>
        <w:trPr>
          <w:trHeight w:val="491"/>
        </w:trPr>
        <w:tc>
          <w:tcPr>
            <w:tcW w:w="3125"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3127"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3127"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w:t>
            </w:r>
            <w:r>
              <w:rPr>
                <w:rFonts w:hint="eastAsia" w:ascii="Times New Roman" w:hAnsi="Times New Roman" w:eastAsia="宋体" w:cs="Times New Roman"/>
                <w:color w:val="auto"/>
                <w:sz w:val="24"/>
                <w:szCs w:val="24"/>
                <w:highlight w:val="none"/>
              </w:rPr>
              <w:t xml:space="preserve">（小写）</w:t>
            </w:r>
            <w:r/>
          </w:p>
        </w:tc>
      </w:tr>
      <w:tr>
        <w:trPr>
          <w:trHeight w:val="491"/>
        </w:trPr>
        <w:tc>
          <w:tcPr>
            <w:tcW w:w="3125"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127"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详见</w:t>
            </w:r>
            <w:r>
              <w:rPr>
                <w:rFonts w:hint="eastAsia" w:ascii="Times New Roman" w:hAnsi="Times New Roman" w:eastAsia="宋体" w:cs="Times New Roman"/>
                <w:color w:val="auto"/>
                <w:sz w:val="24"/>
                <w:szCs w:val="24"/>
                <w:highlight w:val="none"/>
                <w:lang w:val="en-US" w:eastAsia="zh-CN"/>
              </w:rPr>
              <w:t xml:space="preserve">响应</w:t>
            </w:r>
            <w:r>
              <w:rPr>
                <w:rFonts w:ascii="Times New Roman" w:hAnsi="Times New Roman" w:eastAsia="宋体" w:cs="Times New Roman"/>
                <w:color w:val="auto"/>
                <w:sz w:val="24"/>
                <w:szCs w:val="24"/>
                <w:highlight w:val="none"/>
              </w:rPr>
              <w:t xml:space="preserve">文件</w:t>
            </w:r>
            <w:r/>
          </w:p>
        </w:tc>
        <w:tc>
          <w:tcPr>
            <w:tcW w:w="3127"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元</w:t>
            </w:r>
            <w:r/>
          </w:p>
        </w:tc>
      </w:tr>
      <w:tr>
        <w:trPr>
          <w:trHeight w:val="500"/>
        </w:trPr>
        <w:tc>
          <w:tcPr>
            <w:tcW w:w="3125"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总价（大写）</w:t>
            </w:r>
            <w:r/>
          </w:p>
        </w:tc>
        <w:tc>
          <w:tcPr>
            <w:gridSpan w:val="2"/>
            <w:tcW w:w="6254"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供应商</w:t>
      </w:r>
      <w:r>
        <w:rPr>
          <w:rFonts w:ascii="Times New Roman" w:hAnsi="Times New Roman" w:eastAsia="宋体" w:cs="Times New Roman"/>
          <w:color w:val="auto"/>
          <w:sz w:val="24"/>
          <w:szCs w:val="24"/>
          <w:highlight w:val="none"/>
        </w:rPr>
        <w:t xml:space="preserve">公章：</w:t>
      </w:r>
      <w:r>
        <w:rPr>
          <w:rFonts w:hint="eastAsia" w:ascii="Times New Roman" w:hAnsi="Times New Roman" w:eastAsia="宋体" w:cs="Times New Roman"/>
          <w:color w:val="auto"/>
          <w:sz w:val="24"/>
          <w:szCs w:val="24"/>
          <w:highlight w:val="none"/>
        </w:rPr>
        <w:t xml:space="preserve">             （电子签章）</w:t>
      </w:r>
      <w:r/>
    </w:p>
    <w:p>
      <w:pPr>
        <w:numPr>
          <w:ilvl w:val="0"/>
          <w:numId w:val="0"/>
        </w:numPr>
        <w:jc w:val="left"/>
        <w:keepLines/>
        <w:keepNext/>
        <w:spacing w:before="360" w:after="200" w:line="360" w:lineRule="auto"/>
        <w:rPr>
          <w:rFonts w:hint="eastAsia"/>
          <w:iCs/>
          <w:color w:val="auto"/>
          <w:sz w:val="36"/>
          <w:szCs w:val="22"/>
          <w:highlight w:val="none"/>
          <w:u w:val="single"/>
          <w:lang w:val="en-US" w:eastAsia="zh-CN"/>
        </w:rPr>
        <w:outlineLvl w:val="1"/>
      </w:pPr>
      <w:r>
        <w:rPr>
          <w:rFonts w:hint="eastAsia"/>
          <w:iCs/>
          <w:color w:val="auto"/>
          <w:sz w:val="36"/>
          <w:szCs w:val="22"/>
          <w:highlight w:val="none"/>
          <w:u w:val="single"/>
          <w:lang w:val="en-US" w:eastAsia="zh-CN"/>
        </w:rPr>
      </w:r>
      <w:r/>
    </w:p>
    <w:p>
      <w:pPr>
        <w:rPr>
          <w:rFonts w:hint="eastAsia"/>
          <w:iCs/>
          <w:color w:val="auto"/>
          <w:sz w:val="36"/>
          <w:szCs w:val="22"/>
          <w:highlight w:val="none"/>
          <w:u w:val="single"/>
          <w:lang w:val="en-US" w:eastAsia="zh-CN"/>
        </w:rPr>
      </w:pPr>
      <w:r>
        <w:rPr>
          <w:rFonts w:hint="eastAsia"/>
          <w:iCs/>
          <w:color w:val="auto"/>
          <w:sz w:val="36"/>
          <w:szCs w:val="22"/>
          <w:highlight w:val="none"/>
          <w:u w:val="single"/>
          <w:lang w:val="en-US" w:eastAsia="zh-CN"/>
        </w:rPr>
        <w:br w:type="page" w:clear="all"/>
      </w:r>
      <w:r/>
    </w:p>
    <w:p>
      <w:pPr>
        <w:jc w:val="left"/>
        <w:spacing w:line="360" w:lineRule="auto"/>
        <w:rPr>
          <w:color w:val="auto"/>
          <w:sz w:val="24"/>
          <w:highlight w:val="none"/>
        </w:rPr>
      </w:pPr>
      <w:r>
        <w:rPr>
          <w:color w:val="auto"/>
          <w:sz w:val="24"/>
          <w:highlight w:val="none"/>
        </w:rPr>
        <w:t xml:space="preserve">         </w:t>
      </w:r>
      <w:r/>
    </w:p>
    <w:p>
      <w:pPr>
        <w:jc w:val="center"/>
        <w:rPr>
          <w:rFonts w:eastAsia="黑体"/>
          <w:bCs/>
          <w:color w:val="auto"/>
          <w:sz w:val="40"/>
          <w:szCs w:val="32"/>
          <w:highlight w:val="none"/>
        </w:rPr>
      </w:pPr>
      <w:r>
        <w:rPr>
          <w:rFonts w:eastAsia="黑体"/>
          <w:bCs/>
          <w:color w:val="auto"/>
          <w:sz w:val="40"/>
          <w:szCs w:val="32"/>
          <w:highlight w:val="none"/>
        </w:rPr>
        <w:t xml:space="preserve">质疑函范本</w:t>
      </w:r>
      <w:r/>
    </w:p>
    <w:p>
      <w:pPr>
        <w:spacing w:line="500" w:lineRule="exact"/>
        <w:rPr>
          <w:bCs/>
          <w:color w:val="auto"/>
          <w:sz w:val="24"/>
          <w:highlight w:val="none"/>
        </w:rPr>
      </w:pPr>
      <w:r>
        <w:rPr>
          <w:bCs/>
          <w:color w:val="auto"/>
          <w:sz w:val="24"/>
          <w:highlight w:val="none"/>
        </w:rPr>
        <w:t xml:space="preserve">致：</w:t>
      </w:r>
      <w:r>
        <w:rPr>
          <w:color w:val="auto"/>
          <w:sz w:val="24"/>
          <w:highlight w:val="none"/>
          <w:u w:val="single"/>
        </w:rPr>
        <w:t xml:space="preserve">                                                                 </w:t>
      </w:r>
      <w:r/>
    </w:p>
    <w:p>
      <w:pPr>
        <w:spacing w:line="500" w:lineRule="exact"/>
        <w:rPr>
          <w:rFonts w:eastAsia="黑体"/>
          <w:bCs/>
          <w:color w:val="auto"/>
          <w:sz w:val="24"/>
          <w:highlight w:val="none"/>
        </w:rPr>
      </w:pPr>
      <w:r>
        <w:rPr>
          <w:rFonts w:eastAsia="黑体"/>
          <w:bCs/>
          <w:color w:val="auto"/>
          <w:sz w:val="24"/>
          <w:highlight w:val="none"/>
        </w:rPr>
        <w:t xml:space="preserve">一、质疑供应商基本信息</w:t>
      </w:r>
      <w:r/>
    </w:p>
    <w:p>
      <w:pPr>
        <w:spacing w:line="500" w:lineRule="exact"/>
        <w:rPr>
          <w:color w:val="auto"/>
          <w:sz w:val="24"/>
          <w:highlight w:val="none"/>
          <w:u w:val="single"/>
        </w:rPr>
      </w:pPr>
      <w:r>
        <w:rPr>
          <w:color w:val="auto"/>
          <w:sz w:val="24"/>
          <w:highlight w:val="none"/>
        </w:rPr>
        <w:t xml:space="preserve">质疑供应商：</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地址：</w:t>
      </w:r>
      <w:r>
        <w:rPr>
          <w:color w:val="auto"/>
          <w:sz w:val="24"/>
          <w:highlight w:val="none"/>
          <w:u w:val="single"/>
        </w:rPr>
        <w:t xml:space="preserve">                             </w:t>
      </w:r>
      <w:r>
        <w:rPr>
          <w:color w:val="auto"/>
          <w:sz w:val="24"/>
          <w:highlight w:val="none"/>
        </w:rPr>
        <w:t xml:space="preserve">邮编：</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联系人：</w:t>
      </w:r>
      <w:r>
        <w:rPr>
          <w:color w:val="auto"/>
          <w:sz w:val="24"/>
          <w:highlight w:val="none"/>
          <w:u w:val="single"/>
        </w:rPr>
        <w:t xml:space="preserve">                      </w:t>
      </w:r>
      <w:r>
        <w:rPr>
          <w:color w:val="auto"/>
          <w:sz w:val="24"/>
          <w:highlight w:val="none"/>
        </w:rPr>
        <w:t xml:space="preserve">联系电话：</w:t>
      </w: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授权代表：</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联系电话：</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地址： </w:t>
      </w:r>
      <w:r>
        <w:rPr>
          <w:color w:val="auto"/>
          <w:sz w:val="24"/>
          <w:highlight w:val="none"/>
          <w:u w:val="single"/>
        </w:rPr>
        <w:t xml:space="preserve">                        </w:t>
      </w:r>
      <w:r>
        <w:rPr>
          <w:color w:val="auto"/>
          <w:sz w:val="24"/>
          <w:highlight w:val="none"/>
        </w:rPr>
        <w:t xml:space="preserve">邮编：</w:t>
      </w:r>
      <w:r>
        <w:rPr>
          <w:color w:val="auto"/>
          <w:sz w:val="24"/>
          <w:highlight w:val="none"/>
          <w:u w:val="single"/>
        </w:rPr>
        <w:t xml:space="preserve">                                </w:t>
      </w:r>
      <w:r/>
    </w:p>
    <w:p>
      <w:pPr>
        <w:spacing w:line="500" w:lineRule="exact"/>
        <w:rPr>
          <w:rFonts w:eastAsia="黑体"/>
          <w:bCs/>
          <w:color w:val="auto"/>
          <w:sz w:val="24"/>
          <w:highlight w:val="none"/>
        </w:rPr>
      </w:pPr>
      <w:r>
        <w:rPr>
          <w:rFonts w:eastAsia="黑体"/>
          <w:bCs/>
          <w:color w:val="auto"/>
          <w:sz w:val="24"/>
          <w:highlight w:val="none"/>
        </w:rPr>
        <w:t xml:space="preserve">二、质疑项目基本情况</w:t>
      </w:r>
      <w:r/>
    </w:p>
    <w:p>
      <w:pPr>
        <w:spacing w:line="500" w:lineRule="exact"/>
        <w:rPr>
          <w:color w:val="auto"/>
          <w:sz w:val="24"/>
          <w:highlight w:val="none"/>
        </w:rPr>
      </w:pPr>
      <w:r>
        <w:rPr>
          <w:color w:val="auto"/>
          <w:sz w:val="24"/>
          <w:highlight w:val="none"/>
        </w:rPr>
        <w:t xml:space="preserve">质疑项目的名称：</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质疑项目的编号：</w:t>
      </w: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采购人名称：</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采购文件获取日期：</w:t>
      </w:r>
      <w:r>
        <w:rPr>
          <w:color w:val="auto"/>
          <w:sz w:val="24"/>
          <w:highlight w:val="none"/>
          <w:u w:val="single"/>
        </w:rPr>
        <w:t xml:space="preserve">                                                   </w:t>
      </w:r>
      <w:r/>
    </w:p>
    <w:p>
      <w:pPr>
        <w:spacing w:line="500" w:lineRule="exact"/>
        <w:rPr>
          <w:rFonts w:eastAsia="黑体"/>
          <w:bCs/>
          <w:color w:val="auto"/>
          <w:sz w:val="24"/>
          <w:highlight w:val="none"/>
        </w:rPr>
      </w:pPr>
      <w:r>
        <w:rPr>
          <w:rFonts w:eastAsia="黑体"/>
          <w:bCs/>
          <w:color w:val="auto"/>
          <w:sz w:val="24"/>
          <w:highlight w:val="none"/>
        </w:rPr>
        <w:t xml:space="preserve">三、质疑事项具体内容</w:t>
      </w:r>
      <w:r/>
    </w:p>
    <w:p>
      <w:pPr>
        <w:spacing w:line="500" w:lineRule="exact"/>
        <w:rPr>
          <w:color w:val="auto"/>
          <w:sz w:val="24"/>
          <w:highlight w:val="none"/>
          <w:u w:val="single"/>
        </w:rPr>
      </w:pPr>
      <w:r>
        <w:rPr>
          <w:color w:val="auto"/>
          <w:sz w:val="24"/>
          <w:highlight w:val="none"/>
        </w:rPr>
        <w:t xml:space="preserve">质疑事项1：</w:t>
      </w: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事实依据：</w:t>
      </w:r>
      <w:r>
        <w:rPr>
          <w:color w:val="auto"/>
          <w:sz w:val="24"/>
          <w:highlight w:val="none"/>
          <w:u w:val="single"/>
        </w:rPr>
        <w:t xml:space="preserve">                                                            </w:t>
      </w:r>
      <w:r/>
    </w:p>
    <w:p>
      <w:pPr>
        <w:spacing w:line="500" w:lineRule="exact"/>
        <w:rPr>
          <w:color w:val="auto"/>
          <w:sz w:val="24"/>
          <w:highlight w:val="none"/>
        </w:rPr>
      </w:pP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法律依据：</w:t>
      </w: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质疑事项2</w:t>
      </w:r>
      <w:r/>
    </w:p>
    <w:p>
      <w:pPr>
        <w:spacing w:line="500" w:lineRule="exact"/>
        <w:rPr>
          <w:color w:val="auto"/>
          <w:sz w:val="24"/>
          <w:highlight w:val="none"/>
        </w:rPr>
      </w:pPr>
      <w:r>
        <w:rPr>
          <w:color w:val="auto"/>
          <w:sz w:val="24"/>
          <w:highlight w:val="none"/>
        </w:rPr>
        <w:t xml:space="preserve">……</w:t>
      </w:r>
      <w:r/>
    </w:p>
    <w:p>
      <w:pPr>
        <w:spacing w:line="500" w:lineRule="exact"/>
        <w:rPr>
          <w:rFonts w:eastAsia="黑体"/>
          <w:bCs/>
          <w:color w:val="auto"/>
          <w:sz w:val="24"/>
          <w:highlight w:val="none"/>
        </w:rPr>
      </w:pPr>
      <w:r>
        <w:rPr>
          <w:rFonts w:eastAsia="黑体"/>
          <w:bCs/>
          <w:color w:val="auto"/>
          <w:sz w:val="24"/>
          <w:highlight w:val="none"/>
        </w:rPr>
        <w:t xml:space="preserve">四、与质疑事项相关的质疑请求</w:t>
      </w:r>
      <w:r/>
    </w:p>
    <w:p>
      <w:pPr>
        <w:spacing w:line="500" w:lineRule="exact"/>
        <w:rPr>
          <w:color w:val="auto"/>
          <w:sz w:val="24"/>
          <w:highlight w:val="none"/>
          <w:u w:val="single"/>
        </w:rPr>
      </w:pPr>
      <w:r>
        <w:rPr>
          <w:color w:val="auto"/>
          <w:sz w:val="24"/>
          <w:highlight w:val="none"/>
        </w:rPr>
        <w:t xml:space="preserve">请求：</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签字（签章）：                   公章：                      </w:t>
      </w:r>
      <w:r/>
    </w:p>
    <w:p>
      <w:pPr>
        <w:spacing w:line="500" w:lineRule="exact"/>
        <w:rPr>
          <w:color w:val="auto"/>
          <w:sz w:val="24"/>
          <w:highlight w:val="none"/>
        </w:rPr>
      </w:pPr>
      <w:r>
        <w:rPr>
          <w:color w:val="auto"/>
          <w:sz w:val="24"/>
          <w:highlight w:val="none"/>
        </w:rPr>
        <w:t xml:space="preserve">日期：   </w:t>
      </w:r>
      <w:r/>
    </w:p>
    <w:p>
      <w:pPr>
        <w:spacing w:line="500" w:lineRule="exact"/>
        <w:rPr>
          <w:color w:val="auto"/>
          <w:sz w:val="24"/>
          <w:highlight w:val="none"/>
        </w:rPr>
      </w:pPr>
      <w:r>
        <w:rPr>
          <w:color w:val="auto"/>
          <w:sz w:val="24"/>
          <w:highlight w:val="none"/>
        </w:rPr>
        <w:t xml:space="preserve"> </w:t>
      </w:r>
      <w:r/>
    </w:p>
    <w:p>
      <w:pPr>
        <w:spacing w:line="500" w:lineRule="exact"/>
        <w:rPr>
          <w:b/>
          <w:color w:val="auto"/>
          <w:sz w:val="24"/>
          <w:highlight w:val="none"/>
        </w:rPr>
      </w:pPr>
      <w:r>
        <w:rPr>
          <w:b/>
          <w:color w:val="auto"/>
          <w:sz w:val="24"/>
          <w:highlight w:val="none"/>
        </w:rPr>
        <w:t xml:space="preserve">质疑函制作说明：</w:t>
      </w:r>
      <w:r/>
    </w:p>
    <w:p>
      <w:pPr>
        <w:ind w:firstLine="480"/>
        <w:jc w:val="left"/>
        <w:spacing w:line="500" w:lineRule="exact"/>
        <w:widowControl/>
        <w:rPr>
          <w:color w:val="auto"/>
          <w:sz w:val="24"/>
          <w:highlight w:val="none"/>
        </w:rPr>
      </w:pPr>
      <w:r>
        <w:rPr>
          <w:color w:val="auto"/>
          <w:sz w:val="24"/>
          <w:highlight w:val="none"/>
        </w:rPr>
        <w:t xml:space="preserve">1.供应商提出质疑时，应提交质疑函和必要的证明材料。</w:t>
      </w:r>
      <w:r/>
    </w:p>
    <w:p>
      <w:pPr>
        <w:ind w:firstLine="480"/>
        <w:jc w:val="left"/>
        <w:spacing w:line="500" w:lineRule="exact"/>
        <w:widowControl/>
        <w:rPr>
          <w:color w:val="auto"/>
          <w:sz w:val="24"/>
          <w:highlight w:val="none"/>
        </w:rPr>
      </w:pPr>
      <w:r>
        <w:rPr>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color w:val="auto"/>
          <w:sz w:val="24"/>
          <w:highlight w:val="none"/>
        </w:rPr>
      </w:pPr>
      <w:r>
        <w:rPr>
          <w:color w:val="auto"/>
          <w:sz w:val="24"/>
          <w:highlight w:val="none"/>
        </w:rPr>
        <w:t xml:space="preserve">3.质疑函的质疑事项应具体、明确，并有必要的事实依据和法律依据。</w:t>
      </w:r>
      <w:r/>
    </w:p>
    <w:p>
      <w:pPr>
        <w:ind w:firstLine="480"/>
        <w:jc w:val="left"/>
        <w:spacing w:line="500" w:lineRule="exact"/>
        <w:widowControl/>
        <w:rPr>
          <w:color w:val="auto"/>
          <w:sz w:val="24"/>
          <w:highlight w:val="none"/>
        </w:rPr>
      </w:pPr>
      <w:r>
        <w:rPr>
          <w:color w:val="auto"/>
          <w:sz w:val="24"/>
          <w:highlight w:val="none"/>
        </w:rPr>
        <w:t xml:space="preserve">4.质疑函的质疑请求应与质疑事项相关。</w:t>
      </w:r>
      <w:r/>
    </w:p>
    <w:p>
      <w:pPr>
        <w:ind w:firstLine="480"/>
        <w:jc w:val="left"/>
        <w:spacing w:line="500" w:lineRule="exact"/>
        <w:widowControl/>
        <w:rPr>
          <w:color w:val="auto"/>
          <w:sz w:val="24"/>
          <w:highlight w:val="none"/>
        </w:rPr>
      </w:pPr>
      <w:r>
        <w:rPr>
          <w:b/>
          <w:color w:val="auto"/>
          <w:sz w:val="24"/>
          <w:highlight w:val="none"/>
        </w:rPr>
        <w:t xml:space="preserve">5.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1113"/>
        <w:rPr>
          <w:rFonts w:ascii="Times New Roman" w:cs="Times New Roman"/>
          <w:color w:val="auto"/>
          <w:highlight w:val="none"/>
        </w:rPr>
      </w:pPr>
      <w:r>
        <w:rPr>
          <w:rFonts w:ascii="Times New Roman" w:cs="Times New Roman"/>
          <w:color w:val="auto"/>
          <w:highlight w:val="none"/>
        </w:rPr>
      </w:r>
      <w:r/>
    </w:p>
    <w:sectPr>
      <w:footerReference w:type="default" r:id="rId16"/>
      <w:footerReference w:type="first" r:id="rId17"/>
      <w:footnotePr/>
      <w:endnotePr/>
      <w:type w:val="nextPage"/>
      <w:pgSz w:w="11906" w:h="16838" w:orient="portrait"/>
      <w:pgMar w:top="1440" w:right="1134" w:bottom="1440" w:left="1423" w:header="851" w:footer="51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方正小标宋_GBK">
    <w:panose1 w:val="020B0503020202020204"/>
  </w:font>
  <w:font w:name="Calibri">
    <w:panose1 w:val="020F0502020204030204"/>
  </w:font>
  <w:font w:name="PMingLiU">
    <w:panose1 w:val="02020500000000000000"/>
  </w:font>
  <w:font w:name="Book Antiqua">
    <w:panose1 w:val="02040602050305030304"/>
  </w:font>
  <w:font w:name="Tahoma">
    <w:panose1 w:val="020B0604030504040204"/>
  </w:font>
  <w:font w:name="仿宋">
    <w:panose1 w:val="02010609060101010101"/>
  </w:font>
  <w:font w:name="方正楷体_GBK">
    <w:panose1 w:val="020B0503020202020204"/>
  </w:font>
  <w:font w:name="Cambria">
    <w:panose1 w:val="02040503050406030204"/>
  </w:font>
  <w:font w:name="Courier New">
    <w:panose1 w:val="02070309020205020404"/>
  </w:font>
  <w:font w:name="仿宋_GB2312">
    <w:panose1 w:val="02010609060101010101"/>
  </w:font>
  <w:font w:name="方正姚体">
    <w:panose1 w:val="02010601030101010101"/>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v:textbox>
            </v:shape>
          </w:pict>
        </mc:Fallback>
      </mc:AlternateContent>
    </w:r>
    <w:r>
      <w:rPr>
        <w:szCs w:val="21"/>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1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897"/>
                          </w:pPr>
                          <w:r>
                            <w:fldChar w:fldCharType="begin"/>
                          </w:r>
                          <w:r>
                            <w:instrText xml:space="preserve"> PAGE  \* MERGEFORMAT </w:instrText>
                          </w:r>
                          <w:r>
                            <w:fldChar w:fldCharType="separate"/>
                          </w:r>
                          <w:r>
                            <w:t xml:space="preserve">32</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97"/>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2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897"/>
                          </w:pPr>
                          <w:r>
                            <w:fldChar w:fldCharType="begin"/>
                          </w:r>
                          <w:r>
                            <w:instrText xml:space="preserve"> PAGE  \* MERGEFORMAT </w:instrText>
                          </w:r>
                          <w:r>
                            <w:fldChar w:fldCharType="separate"/>
                          </w:r>
                          <w:r>
                            <w:t xml:space="preserve">32</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97"/>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left"/>
      <w:tabs>
        <w:tab w:val="clear" w:pos="4153" w:leader="none"/>
        <w:tab w:val="left" w:pos="8058" w:leader="none"/>
        <w:tab w:val="clear" w:pos="8306" w:leader="none"/>
      </w:tabs>
      <w:rPr>
        <w:rFonts w:hint="eastAsia" w:eastAsia="宋体"/>
        <w:color w:val="000000"/>
        <w:lang w:val="en-US" w:eastAsia="zh-CN"/>
      </w:rPr>
      <w:pBdr>
        <w:bottom w:val="none" w:color="auto" w:sz="0" w:space="1"/>
      </w:pBdr>
    </w:pPr>
    <w:r>
      <w:rPr>
        <w:rFonts w:hint="eastAsia"/>
        <w:color w:val="000000"/>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left"/>
      <w:tabs>
        <w:tab w:val="clear" w:pos="4153" w:leader="none"/>
        <w:tab w:val="left" w:pos="8058" w:leader="none"/>
        <w:tab w:val="clear" w:pos="8306" w:leader="none"/>
      </w:tabs>
      <w:rPr>
        <w:rFonts w:hint="eastAsia" w:eastAsia="宋体"/>
        <w:lang w:eastAsia="zh-CN"/>
      </w:rPr>
      <w:pBdr>
        <w:bottom w:val="none" w:color="auto" w:sz="0" w:space="1"/>
      </w:pBdr>
    </w:pPr>
    <w:r>
      <w:rPr>
        <w:rFonts w:hint="eastAsia"/>
        <w:color w:val="000000"/>
        <w:lang w:val="en-US" w:eastAsia="zh-CN"/>
      </w:rPr>
      <w:t xml:space="preserve"> </w:t>
    </w:r>
    <w:r>
      <w:rPr>
        <w:rFonts w:hint="eastAsia"/>
        <w:color w:val="000000"/>
      </w:rPr>
      <w:tab/>
    </w:r>
    <w:r>
      <w:rPr>
        <w:rFonts w:hint="eastAsia"/>
        <w:color w:val="000000"/>
        <w:lang w:val="en-US" w:eastAsia="zh-CN"/>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7485" w:leader="none"/>
      </w:tabs>
      <w:rPr>
        <w:lang w:val="zh-CN"/>
      </w:rPr>
      <w:pBdr>
        <w:bottom w:val="none" w:color="auto" w:sz="0" w:space="1"/>
      </w:pBdr>
    </w:pPr>
    <w:r>
      <w:rPr>
        <w:lang w:val="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4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43"/>
      <w:isLgl w:val="false"/>
      <w:suff w:val="tab"/>
      <w:lvlText w:val="第%1章"/>
      <w:lvlJc w:val="left"/>
      <w:pPr>
        <w:ind w:left="9351" w:hanging="420"/>
      </w:pPr>
      <w:rPr>
        <w:rFonts w:hint="eastAsia" w:ascii="黑体" w:eastAsia="黑体"/>
        <w:b w:val="0"/>
        <w:sz w:val="36"/>
        <w:lang w:val="en-US"/>
      </w:rPr>
    </w:lvl>
    <w:lvl w:ilvl="1">
      <w:start w:val="1"/>
      <w:numFmt w:val="decimal"/>
      <w:pStyle w:val="1191"/>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1141"/>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27"/>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name w:val="Heading 1"/>
    <w:basedOn w:val="866"/>
    <w:next w:val="866"/>
    <w:link w:val="1114"/>
    <w:uiPriority w:val="0"/>
    <w:qFormat/>
    <w:pPr>
      <w:jc w:val="center"/>
      <w:keepNext/>
      <w:outlineLvl w:val="0"/>
    </w:pPr>
    <w:rPr>
      <w:rFonts w:ascii="楷体_GB2312" w:hAnsi="楷体_GB2312"/>
      <w:b/>
      <w:sz w:val="44"/>
      <w:szCs w:val="20"/>
    </w:rPr>
  </w:style>
  <w:style w:type="paragraph" w:styleId="868">
    <w:name w:val="Heading 2"/>
    <w:basedOn w:val="866"/>
    <w:next w:val="866"/>
    <w:uiPriority w:val="0"/>
    <w:qFormat/>
    <w:pPr>
      <w:jc w:val="center"/>
      <w:keepLines/>
      <w:keepNext/>
      <w:spacing w:before="260" w:after="260" w:line="416" w:lineRule="auto"/>
      <w:outlineLvl w:val="1"/>
    </w:pPr>
    <w:rPr>
      <w:rFonts w:ascii="Arial" w:hAnsi="Arial"/>
      <w:b/>
      <w:sz w:val="44"/>
      <w:szCs w:val="20"/>
    </w:rPr>
  </w:style>
  <w:style w:type="paragraph" w:styleId="869">
    <w:name w:val="Heading 3"/>
    <w:basedOn w:val="866"/>
    <w:next w:val="866"/>
    <w:uiPriority w:val="0"/>
    <w:qFormat/>
    <w:pPr>
      <w:keepLines/>
      <w:keepNext/>
      <w:spacing w:before="260" w:after="260" w:line="416" w:lineRule="auto"/>
      <w:outlineLvl w:val="2"/>
    </w:pPr>
    <w:rPr>
      <w:b/>
      <w:sz w:val="32"/>
      <w:szCs w:val="20"/>
    </w:rPr>
  </w:style>
  <w:style w:type="paragraph" w:styleId="870">
    <w:name w:val="Heading 4"/>
    <w:basedOn w:val="866"/>
    <w:next w:val="866"/>
    <w:uiPriority w:val="0"/>
    <w:qFormat/>
    <w:pPr>
      <w:keepLines/>
      <w:keepNext/>
      <w:spacing w:before="280" w:after="290" w:line="376" w:lineRule="auto"/>
      <w:outlineLvl w:val="3"/>
    </w:pPr>
    <w:rPr>
      <w:rFonts w:ascii="Arial" w:hAnsi="Arial" w:eastAsia="黑体"/>
      <w:bCs/>
      <w:sz w:val="28"/>
      <w:szCs w:val="28"/>
    </w:rPr>
  </w:style>
  <w:style w:type="paragraph" w:styleId="871">
    <w:name w:val="Heading 5"/>
    <w:basedOn w:val="866"/>
    <w:next w:val="866"/>
    <w:uiPriority w:val="0"/>
    <w:qFormat/>
    <w:pPr>
      <w:keepNext/>
      <w:outlineLvl w:val="4"/>
    </w:pPr>
    <w:rPr>
      <w:rFonts w:ascii="宋体" w:hAnsi="宋体"/>
      <w:b/>
      <w:bCs/>
    </w:rPr>
  </w:style>
  <w:style w:type="paragraph" w:styleId="872">
    <w:name w:val="Heading 6"/>
    <w:basedOn w:val="866"/>
    <w:next w:val="866"/>
    <w:link w:val="969"/>
    <w:uiPriority w:val="9"/>
    <w:unhideWhenUsed/>
    <w:qFormat/>
    <w:pPr>
      <w:keepLines/>
      <w:keepNext/>
      <w:spacing w:before="320" w:after="200"/>
      <w:outlineLvl w:val="5"/>
    </w:pPr>
    <w:rPr>
      <w:rFonts w:ascii="Arial" w:hAnsi="Arial" w:eastAsia="Arial" w:cs="Arial"/>
      <w:b/>
      <w:bCs/>
      <w:sz w:val="22"/>
      <w:szCs w:val="22"/>
    </w:rPr>
  </w:style>
  <w:style w:type="paragraph" w:styleId="873">
    <w:name w:val="Heading 7"/>
    <w:basedOn w:val="866"/>
    <w:next w:val="866"/>
    <w:link w:val="970"/>
    <w:uiPriority w:val="9"/>
    <w:unhideWhenUsed/>
    <w:qFormat/>
    <w:pPr>
      <w:keepLines/>
      <w:keepNext/>
      <w:spacing w:before="320" w:after="200"/>
      <w:outlineLvl w:val="6"/>
    </w:pPr>
    <w:rPr>
      <w:rFonts w:ascii="Arial" w:hAnsi="Arial" w:eastAsia="Arial" w:cs="Arial"/>
      <w:b/>
      <w:bCs/>
      <w:i/>
      <w:iCs/>
      <w:sz w:val="22"/>
      <w:szCs w:val="22"/>
    </w:rPr>
  </w:style>
  <w:style w:type="paragraph" w:styleId="874">
    <w:name w:val="Heading 8"/>
    <w:basedOn w:val="866"/>
    <w:next w:val="866"/>
    <w:link w:val="971"/>
    <w:uiPriority w:val="9"/>
    <w:unhideWhenUsed/>
    <w:qFormat/>
    <w:pPr>
      <w:keepLines/>
      <w:keepNext/>
      <w:spacing w:before="320" w:after="200"/>
      <w:outlineLvl w:val="7"/>
    </w:pPr>
    <w:rPr>
      <w:rFonts w:ascii="Arial" w:hAnsi="Arial" w:eastAsia="Arial" w:cs="Arial"/>
      <w:i/>
      <w:iCs/>
      <w:sz w:val="22"/>
      <w:szCs w:val="22"/>
    </w:rPr>
  </w:style>
  <w:style w:type="paragraph" w:styleId="875">
    <w:name w:val="Heading 9"/>
    <w:basedOn w:val="866"/>
    <w:next w:val="866"/>
    <w:link w:val="972"/>
    <w:uiPriority w:val="9"/>
    <w:unhideWhenUsed/>
    <w:qFormat/>
    <w:pPr>
      <w:keepLines/>
      <w:keepNext/>
      <w:spacing w:before="320" w:after="200"/>
      <w:outlineLvl w:val="8"/>
    </w:pPr>
    <w:rPr>
      <w:rFonts w:ascii="Arial" w:hAnsi="Arial" w:eastAsia="Arial" w:cs="Arial"/>
      <w:i/>
      <w:iCs/>
      <w:szCs w:val="21"/>
    </w:rPr>
  </w:style>
  <w:style w:type="character" w:styleId="876" w:default="1">
    <w:name w:val="Default Paragraph Font"/>
    <w:uiPriority w:val="1"/>
    <w:unhideWhenUsed/>
    <w:qFormat/>
  </w:style>
  <w:style w:type="table" w:styleId="877" w:default="1">
    <w:name w:val="Normal Table"/>
    <w:uiPriority w:val="99"/>
    <w:semiHidden/>
    <w:unhideWhenUsed/>
    <w:qFormat/>
    <w:tblPr>
      <w:tblCellMar>
        <w:left w:w="108" w:type="dxa"/>
        <w:top w:w="0" w:type="dxa"/>
        <w:right w:w="108" w:type="dxa"/>
        <w:bottom w:w="0" w:type="dxa"/>
      </w:tblCellMar>
    </w:tblPr>
  </w:style>
  <w:style w:type="paragraph" w:styleId="878">
    <w:name w:val="toc 7"/>
    <w:basedOn w:val="866"/>
    <w:next w:val="866"/>
    <w:uiPriority w:val="0"/>
    <w:semiHidden/>
    <w:qFormat/>
    <w:pPr>
      <w:ind w:left="2520"/>
    </w:pPr>
  </w:style>
  <w:style w:type="paragraph" w:styleId="879">
    <w:name w:val="Normal Indent"/>
    <w:basedOn w:val="866"/>
    <w:link w:val="1115"/>
    <w:uiPriority w:val="0"/>
    <w:qFormat/>
    <w:pPr>
      <w:ind w:firstLine="420"/>
    </w:pPr>
    <w:rPr>
      <w:szCs w:val="20"/>
    </w:rPr>
  </w:style>
  <w:style w:type="paragraph" w:styleId="880">
    <w:name w:val="Caption"/>
    <w:basedOn w:val="866"/>
    <w:next w:val="86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81">
    <w:name w:val="Document Map"/>
    <w:basedOn w:val="866"/>
    <w:uiPriority w:val="0"/>
    <w:semiHidden/>
    <w:qFormat/>
    <w:pPr>
      <w:shd w:val="clear" w:color="auto" w:fill="000080"/>
    </w:pPr>
  </w:style>
  <w:style w:type="paragraph" w:styleId="882">
    <w:name w:val="annotation text"/>
    <w:basedOn w:val="866"/>
    <w:link w:val="1116"/>
    <w:uiPriority w:val="99"/>
    <w:qFormat/>
    <w:pPr>
      <w:jc w:val="left"/>
    </w:pPr>
  </w:style>
  <w:style w:type="paragraph" w:styleId="883">
    <w:name w:val="Body Text 3"/>
    <w:basedOn w:val="866"/>
    <w:uiPriority w:val="0"/>
    <w:qFormat/>
    <w:rPr>
      <w:rFonts w:ascii="仿宋_GB2312" w:hAnsi="Arial" w:eastAsia="仿宋_GB2312"/>
      <w:sz w:val="32"/>
      <w:szCs w:val="20"/>
    </w:rPr>
  </w:style>
  <w:style w:type="paragraph" w:styleId="884">
    <w:name w:val="Body Text"/>
    <w:basedOn w:val="866"/>
    <w:next w:val="885"/>
    <w:uiPriority w:val="0"/>
    <w:qFormat/>
    <w:rPr>
      <w:rFonts w:ascii="楷体_GB2312" w:hAnsi="Arial" w:eastAsia="楷体_GB2312"/>
      <w:sz w:val="28"/>
      <w:szCs w:val="20"/>
    </w:rPr>
  </w:style>
  <w:style w:type="paragraph" w:styleId="885">
    <w:name w:val="Body Text First Indent"/>
    <w:basedOn w:val="884"/>
    <w:uiPriority w:val="99"/>
    <w:unhideWhenUsed/>
    <w:qFormat/>
    <w:pPr>
      <w:ind w:firstLine="420"/>
    </w:pPr>
  </w:style>
  <w:style w:type="paragraph" w:styleId="886">
    <w:name w:val="Body Text Indent"/>
    <w:basedOn w:val="866"/>
    <w:next w:val="887"/>
    <w:uiPriority w:val="0"/>
    <w:qFormat/>
    <w:pPr>
      <w:ind w:firstLine="645"/>
    </w:pPr>
    <w:rPr>
      <w:rFonts w:ascii="楷体_GB2312" w:eastAsia="楷体_GB2312"/>
      <w:sz w:val="32"/>
      <w:szCs w:val="20"/>
    </w:rPr>
  </w:style>
  <w:style w:type="paragraph" w:styleId="887">
    <w:name w:val="envelope return"/>
    <w:basedOn w:val="866"/>
    <w:uiPriority w:val="0"/>
    <w:qFormat/>
    <w:rPr>
      <w:rFonts w:ascii="Arial" w:hAnsi="Arial"/>
    </w:rPr>
  </w:style>
  <w:style w:type="paragraph" w:styleId="888">
    <w:name w:val="Block Text"/>
    <w:basedOn w:val="866"/>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889">
    <w:name w:val="toc 5"/>
    <w:basedOn w:val="866"/>
    <w:next w:val="866"/>
    <w:uiPriority w:val="0"/>
    <w:semiHidden/>
    <w:qFormat/>
    <w:pPr>
      <w:ind w:left="1680"/>
    </w:pPr>
  </w:style>
  <w:style w:type="paragraph" w:styleId="890">
    <w:name w:val="toc 3"/>
    <w:basedOn w:val="866"/>
    <w:next w:val="866"/>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891">
    <w:name w:val="Plain Text"/>
    <w:basedOn w:val="866"/>
    <w:link w:val="1117"/>
    <w:uiPriority w:val="0"/>
    <w:qFormat/>
    <w:rPr>
      <w:rFonts w:ascii="宋体" w:hAnsi="Courier New"/>
      <w:szCs w:val="20"/>
    </w:rPr>
  </w:style>
  <w:style w:type="paragraph" w:styleId="892">
    <w:name w:val="toc 8"/>
    <w:basedOn w:val="866"/>
    <w:next w:val="866"/>
    <w:uiPriority w:val="0"/>
    <w:semiHidden/>
    <w:qFormat/>
    <w:pPr>
      <w:ind w:left="2940"/>
    </w:pPr>
  </w:style>
  <w:style w:type="paragraph" w:styleId="893">
    <w:name w:val="Date"/>
    <w:basedOn w:val="866"/>
    <w:next w:val="866"/>
    <w:uiPriority w:val="0"/>
    <w:qFormat/>
    <w:rPr>
      <w:sz w:val="24"/>
      <w:szCs w:val="20"/>
    </w:rPr>
  </w:style>
  <w:style w:type="paragraph" w:styleId="894">
    <w:name w:val="Body Text Indent 2"/>
    <w:basedOn w:val="866"/>
    <w:uiPriority w:val="0"/>
    <w:qFormat/>
    <w:pPr>
      <w:ind w:firstLine="560"/>
    </w:pPr>
    <w:rPr>
      <w:rFonts w:ascii="宋体" w:hAnsi="宋体"/>
      <w:sz w:val="28"/>
    </w:rPr>
  </w:style>
  <w:style w:type="paragraph" w:styleId="895">
    <w:name w:val="endnote text"/>
    <w:basedOn w:val="866"/>
    <w:link w:val="1109"/>
    <w:uiPriority w:val="99"/>
    <w:semiHidden/>
    <w:unhideWhenUsed/>
    <w:qFormat/>
    <w:rPr>
      <w:sz w:val="20"/>
    </w:rPr>
  </w:style>
  <w:style w:type="paragraph" w:styleId="896">
    <w:name w:val="Balloon Text"/>
    <w:basedOn w:val="866"/>
    <w:uiPriority w:val="0"/>
    <w:semiHidden/>
    <w:qFormat/>
    <w:rPr>
      <w:sz w:val="18"/>
      <w:szCs w:val="18"/>
    </w:rPr>
  </w:style>
  <w:style w:type="paragraph" w:styleId="897">
    <w:name w:val="Footer"/>
    <w:basedOn w:val="866"/>
    <w:uiPriority w:val="0"/>
    <w:qFormat/>
    <w:pPr>
      <w:jc w:val="left"/>
      <w:tabs>
        <w:tab w:val="center" w:pos="4153" w:leader="none"/>
        <w:tab w:val="right" w:pos="8306" w:leader="none"/>
      </w:tabs>
    </w:pPr>
    <w:rPr>
      <w:sz w:val="18"/>
      <w:szCs w:val="20"/>
    </w:rPr>
  </w:style>
  <w:style w:type="paragraph" w:styleId="898">
    <w:name w:val="Header"/>
    <w:basedOn w:val="866"/>
    <w:next w:val="899"/>
    <w:uiPriority w:val="0"/>
    <w:qFormat/>
    <w:pPr>
      <w:jc w:val="center"/>
      <w:tabs>
        <w:tab w:val="center" w:pos="4153" w:leader="none"/>
        <w:tab w:val="right" w:pos="8306" w:leader="none"/>
      </w:tabs>
      <w:pBdr>
        <w:bottom w:val="single" w:color="auto" w:sz="6" w:space="1"/>
      </w:pBdr>
    </w:pPr>
    <w:rPr>
      <w:sz w:val="18"/>
      <w:szCs w:val="18"/>
    </w:rPr>
  </w:style>
  <w:style w:type="paragraph" w:styleId="899" w:customStyle="1">
    <w:name w:val="Quote1"/>
    <w:basedOn w:val="866"/>
    <w:next w:val="866"/>
    <w:uiPriority w:val="99"/>
    <w:qFormat/>
    <w:pPr>
      <w:ind w:left="864" w:right="864"/>
      <w:jc w:val="center"/>
      <w:spacing w:before="200" w:after="160"/>
      <w:widowControl/>
    </w:pPr>
    <w:rPr>
      <w:rFonts w:ascii="宋体"/>
      <w:i/>
      <w:color w:val="404040"/>
    </w:rPr>
  </w:style>
  <w:style w:type="paragraph" w:styleId="900">
    <w:name w:val="toc 1"/>
    <w:basedOn w:val="866"/>
    <w:next w:val="866"/>
    <w:uiPriority w:val="39"/>
    <w:qFormat/>
    <w:pPr>
      <w:jc w:val="left"/>
      <w:spacing w:before="120" w:after="120" w:line="300" w:lineRule="exact"/>
      <w:tabs>
        <w:tab w:val="right" w:pos="9440" w:leader="dot"/>
      </w:tabs>
    </w:pPr>
    <w:rPr>
      <w:rFonts w:ascii="黑体" w:eastAsia="黑体"/>
      <w:b/>
      <w:caps/>
      <w:sz w:val="18"/>
      <w:szCs w:val="28"/>
    </w:rPr>
  </w:style>
  <w:style w:type="paragraph" w:styleId="901">
    <w:name w:val="toc 4"/>
    <w:basedOn w:val="866"/>
    <w:next w:val="866"/>
    <w:uiPriority w:val="0"/>
    <w:semiHidden/>
    <w:qFormat/>
    <w:pPr>
      <w:ind w:left="1260"/>
    </w:pPr>
  </w:style>
  <w:style w:type="paragraph" w:styleId="902">
    <w:name w:val="Subtitle"/>
    <w:basedOn w:val="866"/>
    <w:next w:val="866"/>
    <w:link w:val="1118"/>
    <w:uiPriority w:val="0"/>
    <w:qFormat/>
    <w:pPr>
      <w:jc w:val="center"/>
      <w:spacing w:before="240" w:after="60" w:line="312" w:lineRule="auto"/>
      <w:outlineLvl w:val="1"/>
    </w:pPr>
    <w:rPr>
      <w:rFonts w:ascii="Cambria" w:hAnsi="Cambria"/>
      <w:b/>
      <w:bCs/>
      <w:sz w:val="32"/>
      <w:szCs w:val="32"/>
    </w:rPr>
  </w:style>
  <w:style w:type="paragraph" w:styleId="903">
    <w:name w:val="footnote text"/>
    <w:basedOn w:val="866"/>
    <w:link w:val="1108"/>
    <w:uiPriority w:val="99"/>
    <w:semiHidden/>
    <w:unhideWhenUsed/>
    <w:qFormat/>
    <w:pPr>
      <w:spacing w:after="40"/>
    </w:pPr>
    <w:rPr>
      <w:sz w:val="18"/>
    </w:rPr>
  </w:style>
  <w:style w:type="paragraph" w:styleId="904">
    <w:name w:val="toc 6"/>
    <w:basedOn w:val="866"/>
    <w:next w:val="866"/>
    <w:uiPriority w:val="0"/>
    <w:semiHidden/>
    <w:qFormat/>
    <w:pPr>
      <w:ind w:left="2100"/>
    </w:pPr>
  </w:style>
  <w:style w:type="paragraph" w:styleId="905">
    <w:name w:val="Body Text Indent 3"/>
    <w:basedOn w:val="866"/>
    <w:uiPriority w:val="0"/>
    <w:qFormat/>
    <w:pPr>
      <w:ind w:firstLine="523"/>
    </w:pPr>
    <w:rPr>
      <w:rFonts w:ascii="仿宋_GB2312" w:hAnsi="宋体" w:eastAsia="仿宋_GB2312"/>
      <w:sz w:val="24"/>
    </w:rPr>
  </w:style>
  <w:style w:type="paragraph" w:styleId="906">
    <w:name w:val="table of figures"/>
    <w:basedOn w:val="866"/>
    <w:next w:val="866"/>
    <w:uiPriority w:val="99"/>
    <w:unhideWhenUsed/>
    <w:qFormat/>
  </w:style>
  <w:style w:type="paragraph" w:styleId="907">
    <w:name w:val="toc 2"/>
    <w:basedOn w:val="866"/>
    <w:next w:val="866"/>
    <w:uiPriority w:val="39"/>
    <w:qFormat/>
    <w:pPr>
      <w:jc w:val="left"/>
      <w:spacing w:line="260" w:lineRule="exact"/>
      <w:tabs>
        <w:tab w:val="right" w:pos="9440" w:leader="dot"/>
      </w:tabs>
    </w:pPr>
    <w:rPr>
      <w:rFonts w:ascii="黑体" w:eastAsia="黑体"/>
      <w:b/>
      <w:bCs/>
      <w:smallCaps/>
      <w:sz w:val="18"/>
      <w:szCs w:val="44"/>
    </w:rPr>
  </w:style>
  <w:style w:type="paragraph" w:styleId="908">
    <w:name w:val="toc 9"/>
    <w:basedOn w:val="866"/>
    <w:next w:val="866"/>
    <w:uiPriority w:val="0"/>
    <w:semiHidden/>
    <w:qFormat/>
    <w:pPr>
      <w:ind w:left="3360"/>
    </w:pPr>
  </w:style>
  <w:style w:type="paragraph" w:styleId="909">
    <w:name w:val="Body Text 2"/>
    <w:basedOn w:val="866"/>
    <w:uiPriority w:val="0"/>
    <w:qFormat/>
    <w:pPr>
      <w:jc w:val="center"/>
    </w:pPr>
    <w:rPr>
      <w:rFonts w:ascii="仿宋_GB2312" w:eastAsia="仿宋_GB2312"/>
      <w:sz w:val="44"/>
    </w:rPr>
  </w:style>
  <w:style w:type="paragraph" w:styleId="910">
    <w:name w:val="Message Header"/>
    <w:basedOn w:val="866"/>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911">
    <w:name w:val="HTML Preformatted"/>
    <w:basedOn w:val="866"/>
    <w:link w:val="111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12">
    <w:name w:val="Normal (Web)"/>
    <w:basedOn w:val="866"/>
    <w:uiPriority w:val="0"/>
    <w:unhideWhenUsed/>
    <w:qFormat/>
    <w:pPr>
      <w:jc w:val="left"/>
      <w:spacing w:before="100" w:beforeAutospacing="1" w:after="100" w:afterAutospacing="1"/>
      <w:widowControl/>
    </w:pPr>
    <w:rPr>
      <w:rFonts w:ascii="宋体" w:hAnsi="宋体" w:cs="宋体"/>
      <w:sz w:val="24"/>
    </w:rPr>
  </w:style>
  <w:style w:type="paragraph" w:styleId="913">
    <w:name w:val="index 1"/>
    <w:basedOn w:val="866"/>
    <w:next w:val="866"/>
    <w:uiPriority w:val="0"/>
    <w:semiHidden/>
    <w:qFormat/>
    <w:rPr>
      <w:rFonts w:ascii="宋体" w:hAnsi="宋体"/>
      <w:szCs w:val="18"/>
    </w:rPr>
  </w:style>
  <w:style w:type="paragraph" w:styleId="914">
    <w:name w:val="Title"/>
    <w:basedOn w:val="866"/>
    <w:next w:val="866"/>
    <w:link w:val="974"/>
    <w:uiPriority w:val="10"/>
    <w:qFormat/>
    <w:pPr>
      <w:contextualSpacing/>
      <w:spacing w:before="300" w:after="200"/>
    </w:pPr>
    <w:rPr>
      <w:sz w:val="48"/>
      <w:szCs w:val="48"/>
    </w:rPr>
  </w:style>
  <w:style w:type="paragraph" w:styleId="915">
    <w:name w:val="annotation subject"/>
    <w:basedOn w:val="882"/>
    <w:next w:val="882"/>
    <w:link w:val="1120"/>
    <w:uiPriority w:val="0"/>
    <w:qFormat/>
    <w:rPr>
      <w:b/>
      <w:bCs/>
    </w:rPr>
  </w:style>
  <w:style w:type="paragraph" w:styleId="916">
    <w:name w:val="Body Text First Indent 2"/>
    <w:basedOn w:val="886"/>
    <w:uiPriority w:val="0"/>
    <w:qFormat/>
    <w:pPr>
      <w:ind w:left="420" w:firstLine="420"/>
      <w:spacing w:after="120"/>
    </w:pPr>
    <w:rPr>
      <w:rFonts w:cs="宋体"/>
      <w:sz w:val="21"/>
      <w:szCs w:val="21"/>
    </w:rPr>
  </w:style>
  <w:style w:type="table" w:styleId="917">
    <w:name w:val="Table Grid"/>
    <w:basedOn w:val="87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8">
    <w:name w:val="Strong"/>
    <w:basedOn w:val="876"/>
    <w:uiPriority w:val="0"/>
    <w:qFormat/>
    <w:rPr>
      <w:b/>
      <w:bCs/>
    </w:rPr>
  </w:style>
  <w:style w:type="character" w:styleId="919">
    <w:name w:val="endnote reference"/>
    <w:basedOn w:val="876"/>
    <w:uiPriority w:val="99"/>
    <w:semiHidden/>
    <w:unhideWhenUsed/>
    <w:qFormat/>
    <w:rPr>
      <w:vertAlign w:val="superscript"/>
    </w:rPr>
  </w:style>
  <w:style w:type="character" w:styleId="920">
    <w:name w:val="page number"/>
    <w:uiPriority w:val="0"/>
    <w:qFormat/>
  </w:style>
  <w:style w:type="character" w:styleId="921">
    <w:name w:val="FollowedHyperlink"/>
    <w:uiPriority w:val="0"/>
    <w:qFormat/>
    <w:rPr>
      <w:color w:val="800080"/>
      <w:u w:val="none"/>
    </w:rPr>
  </w:style>
  <w:style w:type="character" w:styleId="922">
    <w:name w:val="HTML Definition"/>
    <w:uiPriority w:val="0"/>
    <w:qFormat/>
  </w:style>
  <w:style w:type="character" w:styleId="923">
    <w:name w:val="HTML Typewriter"/>
    <w:uiPriority w:val="0"/>
    <w:qFormat/>
    <w:rPr>
      <w:rFonts w:hint="default" w:ascii="monospace" w:hAnsi="monospace" w:eastAsia="monospace" w:cs="monospace"/>
      <w:sz w:val="20"/>
    </w:rPr>
  </w:style>
  <w:style w:type="character" w:styleId="924">
    <w:name w:val="HTML Acronym"/>
    <w:basedOn w:val="876"/>
    <w:uiPriority w:val="0"/>
    <w:qFormat/>
  </w:style>
  <w:style w:type="character" w:styleId="925">
    <w:name w:val="HTML Variable"/>
    <w:uiPriority w:val="0"/>
    <w:qFormat/>
  </w:style>
  <w:style w:type="character" w:styleId="926">
    <w:name w:val="Hyperlink"/>
    <w:uiPriority w:val="99"/>
    <w:qFormat/>
    <w:rPr>
      <w:color w:val="0000ff"/>
      <w:u w:val="none"/>
    </w:rPr>
  </w:style>
  <w:style w:type="character" w:styleId="927">
    <w:name w:val="HTML Code"/>
    <w:uiPriority w:val="0"/>
    <w:qFormat/>
    <w:rPr>
      <w:rFonts w:ascii="monospace" w:hAnsi="monospace" w:eastAsia="monospace" w:cs="monospace"/>
      <w:sz w:val="20"/>
    </w:rPr>
  </w:style>
  <w:style w:type="character" w:styleId="928">
    <w:name w:val="annotation reference"/>
    <w:uiPriority w:val="0"/>
    <w:qFormat/>
    <w:rPr>
      <w:sz w:val="21"/>
      <w:szCs w:val="21"/>
    </w:rPr>
  </w:style>
  <w:style w:type="character" w:styleId="929">
    <w:name w:val="HTML Cite"/>
    <w:uiPriority w:val="0"/>
    <w:qFormat/>
  </w:style>
  <w:style w:type="character" w:styleId="930">
    <w:name w:val="footnote reference"/>
    <w:basedOn w:val="876"/>
    <w:uiPriority w:val="99"/>
    <w:unhideWhenUsed/>
    <w:qFormat/>
    <w:rPr>
      <w:vertAlign w:val="superscript"/>
    </w:rPr>
  </w:style>
  <w:style w:type="character" w:styleId="931">
    <w:name w:val="HTML Keyboard"/>
    <w:uiPriority w:val="0"/>
    <w:qFormat/>
    <w:rPr>
      <w:rFonts w:hint="default" w:ascii="monospace" w:hAnsi="monospace" w:eastAsia="monospace" w:cs="monospace"/>
      <w:sz w:val="20"/>
    </w:rPr>
  </w:style>
  <w:style w:type="character" w:styleId="932">
    <w:name w:val="HTML Sample"/>
    <w:uiPriority w:val="0"/>
    <w:qFormat/>
    <w:rPr>
      <w:rFonts w:hint="default" w:ascii="monospace" w:hAnsi="monospace" w:eastAsia="monospace" w:cs="monospace"/>
    </w:rPr>
  </w:style>
  <w:style w:type="paragraph" w:styleId="933" w:customStyle="1">
    <w:name w:val="正文首行缩进1"/>
    <w:basedOn w:val="934"/>
    <w:next w:val="866"/>
    <w:uiPriority w:val="99"/>
    <w:qFormat/>
    <w:pPr>
      <w:ind w:firstLine="420"/>
      <w:tabs>
        <w:tab w:val="left" w:pos="567" w:leader="none"/>
      </w:tabs>
    </w:pPr>
  </w:style>
  <w:style w:type="paragraph" w:styleId="934" w:customStyle="1">
    <w:name w:val="正文文本1"/>
    <w:basedOn w:val="866"/>
    <w:next w:val="866"/>
    <w:uiPriority w:val="0"/>
    <w:qFormat/>
    <w:pPr>
      <w:jc w:val="center"/>
    </w:pPr>
  </w:style>
  <w:style w:type="character" w:styleId="935" w:customStyle="1">
    <w:name w:val="Heading 6 Char"/>
    <w:basedOn w:val="876"/>
    <w:uiPriority w:val="9"/>
    <w:qFormat/>
    <w:rPr>
      <w:rFonts w:ascii="Arial" w:hAnsi="Arial" w:eastAsia="Arial" w:cs="Arial"/>
      <w:b/>
      <w:bCs/>
      <w:sz w:val="22"/>
      <w:szCs w:val="22"/>
    </w:rPr>
  </w:style>
  <w:style w:type="character" w:styleId="936" w:customStyle="1">
    <w:name w:val="Heading 7 Char"/>
    <w:basedOn w:val="876"/>
    <w:uiPriority w:val="9"/>
    <w:qFormat/>
    <w:rPr>
      <w:rFonts w:ascii="Arial" w:hAnsi="Arial" w:eastAsia="Arial" w:cs="Arial"/>
      <w:b/>
      <w:bCs/>
      <w:i/>
      <w:iCs/>
      <w:sz w:val="22"/>
      <w:szCs w:val="22"/>
    </w:rPr>
  </w:style>
  <w:style w:type="character" w:styleId="937" w:customStyle="1">
    <w:name w:val="Heading 8 Char"/>
    <w:basedOn w:val="876"/>
    <w:uiPriority w:val="9"/>
    <w:qFormat/>
    <w:rPr>
      <w:rFonts w:ascii="Arial" w:hAnsi="Arial" w:eastAsia="Arial" w:cs="Arial"/>
      <w:i/>
      <w:iCs/>
      <w:sz w:val="22"/>
      <w:szCs w:val="22"/>
    </w:rPr>
  </w:style>
  <w:style w:type="character" w:styleId="938" w:customStyle="1">
    <w:name w:val="Heading 9 Char"/>
    <w:basedOn w:val="876"/>
    <w:uiPriority w:val="9"/>
    <w:qFormat/>
    <w:rPr>
      <w:rFonts w:ascii="Arial" w:hAnsi="Arial" w:eastAsia="Arial" w:cs="Arial"/>
      <w:i/>
      <w:iCs/>
      <w:sz w:val="21"/>
      <w:szCs w:val="21"/>
    </w:rPr>
  </w:style>
  <w:style w:type="character" w:styleId="939" w:customStyle="1">
    <w:name w:val="Title Char"/>
    <w:basedOn w:val="876"/>
    <w:uiPriority w:val="10"/>
    <w:qFormat/>
    <w:rPr>
      <w:sz w:val="48"/>
      <w:szCs w:val="48"/>
    </w:rPr>
  </w:style>
  <w:style w:type="character" w:styleId="940" w:customStyle="1">
    <w:name w:val="Quote Char"/>
    <w:uiPriority w:val="29"/>
    <w:qFormat/>
    <w:rPr>
      <w:i/>
    </w:rPr>
  </w:style>
  <w:style w:type="character" w:styleId="941" w:customStyle="1">
    <w:name w:val="Intense Quote Char"/>
    <w:uiPriority w:val="30"/>
    <w:qFormat/>
    <w:rPr>
      <w:i/>
    </w:rPr>
  </w:style>
  <w:style w:type="table" w:styleId="942" w:customStyle="1">
    <w:name w:val="Plain Table 1"/>
    <w:basedOn w:val="8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2"/>
    <w:basedOn w:val="8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3"/>
    <w:basedOn w:val="8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Plain Table 4"/>
    <w:basedOn w:val="8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Plain Table 5"/>
    <w:basedOn w:val="8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Grid Table 1 Light"/>
    <w:basedOn w:val="8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Grid Table 2"/>
    <w:basedOn w:val="8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3"/>
    <w:basedOn w:val="8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4"/>
    <w:basedOn w:val="8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Grid Table 5 Dark"/>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Grid Table 6 Colorful"/>
    <w:basedOn w:val="8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3" w:customStyle="1">
    <w:name w:val="Grid Table 7 Colorful"/>
    <w:basedOn w:val="8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List Table 1 Light"/>
    <w:basedOn w:val="8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2"/>
    <w:basedOn w:val="8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List Table 3"/>
    <w:basedOn w:val="8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4"/>
    <w:basedOn w:val="8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5 Dark"/>
    <w:basedOn w:val="8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6 Colorful"/>
    <w:basedOn w:val="8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List Table 7 Colorful"/>
    <w:basedOn w:val="8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1" w:customStyle="1">
    <w:name w:val="Footnote Text Char"/>
    <w:uiPriority w:val="99"/>
    <w:qFormat/>
    <w:rPr>
      <w:sz w:val="18"/>
    </w:rPr>
  </w:style>
  <w:style w:type="character" w:styleId="962" w:customStyle="1">
    <w:name w:val="Endnote Text Char"/>
    <w:uiPriority w:val="99"/>
    <w:qFormat/>
    <w:rPr>
      <w:sz w:val="20"/>
    </w:rPr>
  </w:style>
  <w:style w:type="paragraph" w:styleId="963" w:customStyle="1">
    <w:name w:val="TOC Heading"/>
    <w:uiPriority w:val="39"/>
    <w:unhideWhenUsed/>
    <w:qFormat/>
    <w:rPr>
      <w:rFonts w:hint="default" w:ascii="Times New Roman" w:hAnsi="Times New Roman" w:eastAsia="宋体" w:cs="Times New Roman"/>
    </w:rPr>
  </w:style>
  <w:style w:type="character" w:styleId="964" w:customStyle="1">
    <w:name w:val="Heading 1 Char"/>
    <w:basedOn w:val="876"/>
    <w:uiPriority w:val="9"/>
    <w:qFormat/>
    <w:rPr>
      <w:rFonts w:ascii="Arial" w:hAnsi="Arial" w:eastAsia="Arial" w:cs="Arial"/>
      <w:sz w:val="40"/>
      <w:szCs w:val="40"/>
    </w:rPr>
  </w:style>
  <w:style w:type="character" w:styleId="965" w:customStyle="1">
    <w:name w:val="Heading 2 Char"/>
    <w:basedOn w:val="876"/>
    <w:uiPriority w:val="9"/>
    <w:qFormat/>
    <w:rPr>
      <w:rFonts w:ascii="Arial" w:hAnsi="Arial" w:eastAsia="Arial" w:cs="Arial"/>
      <w:sz w:val="34"/>
    </w:rPr>
  </w:style>
  <w:style w:type="character" w:styleId="966" w:customStyle="1">
    <w:name w:val="Heading 3 Char"/>
    <w:basedOn w:val="876"/>
    <w:uiPriority w:val="9"/>
    <w:qFormat/>
    <w:rPr>
      <w:rFonts w:ascii="Arial" w:hAnsi="Arial" w:eastAsia="Arial" w:cs="Arial"/>
      <w:sz w:val="30"/>
      <w:szCs w:val="30"/>
    </w:rPr>
  </w:style>
  <w:style w:type="character" w:styleId="967" w:customStyle="1">
    <w:name w:val="Heading 4 Char"/>
    <w:basedOn w:val="876"/>
    <w:uiPriority w:val="9"/>
    <w:qFormat/>
    <w:rPr>
      <w:rFonts w:ascii="Arial" w:hAnsi="Arial" w:eastAsia="Arial" w:cs="Arial"/>
      <w:b/>
      <w:bCs/>
      <w:sz w:val="26"/>
      <w:szCs w:val="26"/>
    </w:rPr>
  </w:style>
  <w:style w:type="character" w:styleId="968" w:customStyle="1">
    <w:name w:val="Heading 5 Char"/>
    <w:basedOn w:val="876"/>
    <w:uiPriority w:val="9"/>
    <w:qFormat/>
    <w:rPr>
      <w:rFonts w:ascii="Arial" w:hAnsi="Arial" w:eastAsia="Arial" w:cs="Arial"/>
      <w:b/>
      <w:bCs/>
      <w:sz w:val="24"/>
      <w:szCs w:val="24"/>
    </w:rPr>
  </w:style>
  <w:style w:type="character" w:styleId="969" w:customStyle="1">
    <w:name w:val="标题 6 字符"/>
    <w:basedOn w:val="876"/>
    <w:link w:val="872"/>
    <w:uiPriority w:val="9"/>
    <w:qFormat/>
    <w:rPr>
      <w:rFonts w:ascii="Arial" w:hAnsi="Arial" w:eastAsia="Arial" w:cs="Arial"/>
      <w:b/>
      <w:bCs/>
      <w:sz w:val="22"/>
      <w:szCs w:val="22"/>
    </w:rPr>
  </w:style>
  <w:style w:type="character" w:styleId="970" w:customStyle="1">
    <w:name w:val="标题 7 字符"/>
    <w:basedOn w:val="876"/>
    <w:link w:val="873"/>
    <w:uiPriority w:val="9"/>
    <w:qFormat/>
    <w:rPr>
      <w:rFonts w:ascii="Arial" w:hAnsi="Arial" w:eastAsia="Arial" w:cs="Arial"/>
      <w:b/>
      <w:bCs/>
      <w:i/>
      <w:iCs/>
      <w:sz w:val="22"/>
      <w:szCs w:val="22"/>
    </w:rPr>
  </w:style>
  <w:style w:type="character" w:styleId="971" w:customStyle="1">
    <w:name w:val="标题 8 字符"/>
    <w:basedOn w:val="876"/>
    <w:link w:val="874"/>
    <w:uiPriority w:val="9"/>
    <w:qFormat/>
    <w:rPr>
      <w:rFonts w:ascii="Arial" w:hAnsi="Arial" w:eastAsia="Arial" w:cs="Arial"/>
      <w:i/>
      <w:iCs/>
      <w:sz w:val="22"/>
      <w:szCs w:val="22"/>
    </w:rPr>
  </w:style>
  <w:style w:type="character" w:styleId="972" w:customStyle="1">
    <w:name w:val="标题 9 字符"/>
    <w:basedOn w:val="876"/>
    <w:link w:val="875"/>
    <w:uiPriority w:val="9"/>
    <w:qFormat/>
    <w:rPr>
      <w:rFonts w:ascii="Arial" w:hAnsi="Arial" w:eastAsia="Arial" w:cs="Arial"/>
      <w:i/>
      <w:iCs/>
      <w:sz w:val="21"/>
      <w:szCs w:val="21"/>
    </w:rPr>
  </w:style>
  <w:style w:type="paragraph" w:styleId="973">
    <w:name w:val="No Spacing"/>
    <w:uiPriority w:val="1"/>
    <w:qFormat/>
    <w:rPr>
      <w:rFonts w:hint="default" w:ascii="Times New Roman" w:hAnsi="Times New Roman" w:eastAsia="宋体" w:cs="Times New Roman"/>
      <w:lang w:val="en-US" w:eastAsia="zh-CN" w:bidi="ar-SA"/>
    </w:rPr>
  </w:style>
  <w:style w:type="character" w:styleId="974" w:customStyle="1">
    <w:name w:val="标题 字符"/>
    <w:basedOn w:val="876"/>
    <w:link w:val="914"/>
    <w:uiPriority w:val="10"/>
    <w:qFormat/>
    <w:rPr>
      <w:sz w:val="48"/>
      <w:szCs w:val="48"/>
    </w:rPr>
  </w:style>
  <w:style w:type="character" w:styleId="975" w:customStyle="1">
    <w:name w:val="Subtitle Char"/>
    <w:basedOn w:val="876"/>
    <w:uiPriority w:val="11"/>
    <w:qFormat/>
    <w:rPr>
      <w:sz w:val="24"/>
      <w:szCs w:val="24"/>
    </w:rPr>
  </w:style>
  <w:style w:type="paragraph" w:styleId="976">
    <w:name w:val="Quote"/>
    <w:basedOn w:val="866"/>
    <w:next w:val="866"/>
    <w:link w:val="977"/>
    <w:uiPriority w:val="29"/>
    <w:qFormat/>
    <w:pPr>
      <w:ind w:left="720" w:right="720"/>
    </w:pPr>
    <w:rPr>
      <w:i/>
    </w:rPr>
  </w:style>
  <w:style w:type="character" w:styleId="977" w:customStyle="1">
    <w:name w:val="引用 字符"/>
    <w:link w:val="976"/>
    <w:uiPriority w:val="29"/>
    <w:qFormat/>
    <w:rPr>
      <w:i/>
    </w:rPr>
  </w:style>
  <w:style w:type="paragraph" w:styleId="978">
    <w:name w:val="Intense Quote"/>
    <w:basedOn w:val="866"/>
    <w:next w:val="866"/>
    <w:link w:val="9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9" w:customStyle="1">
    <w:name w:val="明显引用 字符"/>
    <w:link w:val="978"/>
    <w:uiPriority w:val="30"/>
    <w:qFormat/>
    <w:rPr>
      <w:i/>
    </w:rPr>
  </w:style>
  <w:style w:type="character" w:styleId="980" w:customStyle="1">
    <w:name w:val="Header Char"/>
    <w:basedOn w:val="876"/>
    <w:uiPriority w:val="99"/>
    <w:qFormat/>
  </w:style>
  <w:style w:type="character" w:styleId="981" w:customStyle="1">
    <w:name w:val="Footer Char"/>
    <w:basedOn w:val="876"/>
    <w:uiPriority w:val="99"/>
    <w:qFormat/>
  </w:style>
  <w:style w:type="character" w:styleId="982" w:customStyle="1">
    <w:name w:val="Caption Char"/>
    <w:uiPriority w:val="99"/>
    <w:qFormat/>
  </w:style>
  <w:style w:type="table" w:styleId="983" w:customStyle="1">
    <w:name w:val="Table Grid Light"/>
    <w:basedOn w:val="8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4" w:customStyle="1">
    <w:name w:val="无格式表格 11"/>
    <w:basedOn w:val="8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无格式表格 21"/>
    <w:basedOn w:val="8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无格式表格 31"/>
    <w:basedOn w:val="8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7" w:customStyle="1">
    <w:name w:val="无格式表格 41"/>
    <w:basedOn w:val="8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8" w:customStyle="1">
    <w:name w:val="无格式表格 51"/>
    <w:basedOn w:val="8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9" w:customStyle="1">
    <w:name w:val="网格表 1 浅色1"/>
    <w:basedOn w:val="8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1"/>
    <w:basedOn w:val="87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2"/>
    <w:basedOn w:val="87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3"/>
    <w:basedOn w:val="87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4"/>
    <w:basedOn w:val="87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5"/>
    <w:basedOn w:val="87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6"/>
    <w:basedOn w:val="87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96" w:customStyle="1">
    <w:name w:val="网格表 21"/>
    <w:basedOn w:val="8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7" w:customStyle="1">
    <w:name w:val="Grid Table 2 - Accent 1"/>
    <w:basedOn w:val="87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98" w:customStyle="1">
    <w:name w:val="Grid Table 2 - Accent 2"/>
    <w:basedOn w:val="87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99" w:customStyle="1">
    <w:name w:val="Grid Table 2 - Accent 3"/>
    <w:basedOn w:val="87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00" w:customStyle="1">
    <w:name w:val="Grid Table 2 - Accent 4"/>
    <w:basedOn w:val="87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01" w:customStyle="1">
    <w:name w:val="Grid Table 2 - Accent 5"/>
    <w:basedOn w:val="87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02" w:customStyle="1">
    <w:name w:val="Grid Table 2 - Accent 6"/>
    <w:basedOn w:val="87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03" w:customStyle="1">
    <w:name w:val="网格表 31"/>
    <w:basedOn w:val="8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1"/>
    <w:basedOn w:val="87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2"/>
    <w:basedOn w:val="87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3"/>
    <w:basedOn w:val="87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4"/>
    <w:basedOn w:val="87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5"/>
    <w:basedOn w:val="87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6"/>
    <w:basedOn w:val="87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网格表 41"/>
    <w:basedOn w:val="8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1" w:customStyle="1">
    <w:name w:val="Grid Table 4 - Accent 1"/>
    <w:basedOn w:val="87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12" w:customStyle="1">
    <w:name w:val="Grid Table 4 - Accent 2"/>
    <w:basedOn w:val="87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13" w:customStyle="1">
    <w:name w:val="Grid Table 4 - Accent 3"/>
    <w:basedOn w:val="87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14" w:customStyle="1">
    <w:name w:val="Grid Table 4 - Accent 4"/>
    <w:basedOn w:val="87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15" w:customStyle="1">
    <w:name w:val="Grid Table 4 - Accent 5"/>
    <w:basedOn w:val="87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16" w:customStyle="1">
    <w:name w:val="Grid Table 4 - Accent 6"/>
    <w:basedOn w:val="87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17" w:customStyle="1">
    <w:name w:val="网格表 5 深色1"/>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8" w:customStyle="1">
    <w:name w:val="Grid Table 5 Dark- Accent 1"/>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19" w:customStyle="1">
    <w:name w:val="Grid Table 5 Dark - Accent 2"/>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20" w:customStyle="1">
    <w:name w:val="Grid Table 5 Dark - Accent 3"/>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21" w:customStyle="1">
    <w:name w:val="Grid Table 5 Dark- Accent 4"/>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22" w:customStyle="1">
    <w:name w:val="Grid Table 5 Dark - Accent 5"/>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23" w:customStyle="1">
    <w:name w:val="Grid Table 5 Dark - Accent 6"/>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24" w:customStyle="1">
    <w:name w:val="网格表 6 彩色1"/>
    <w:basedOn w:val="8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5" w:customStyle="1">
    <w:name w:val="Grid Table 6 Colorful - Accent 1"/>
    <w:basedOn w:val="87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26" w:customStyle="1">
    <w:name w:val="Grid Table 6 Colorful - Accent 2"/>
    <w:basedOn w:val="87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27" w:customStyle="1">
    <w:name w:val="Grid Table 6 Colorful - Accent 3"/>
    <w:basedOn w:val="87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28" w:customStyle="1">
    <w:name w:val="Grid Table 6 Colorful - Accent 4"/>
    <w:basedOn w:val="87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29" w:customStyle="1">
    <w:name w:val="Grid Table 6 Colorful - Accent 5"/>
    <w:basedOn w:val="87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30" w:customStyle="1">
    <w:name w:val="Grid Table 6 Colorful - Accent 6"/>
    <w:basedOn w:val="87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31" w:customStyle="1">
    <w:name w:val="网格表 7 彩色1"/>
    <w:basedOn w:val="87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Grid Table 7 Colorful - Accent 1"/>
    <w:basedOn w:val="87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33" w:customStyle="1">
    <w:name w:val="Grid Table 7 Colorful - Accent 2"/>
    <w:basedOn w:val="87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4" w:customStyle="1">
    <w:name w:val="Grid Table 7 Colorful - Accent 3"/>
    <w:basedOn w:val="87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35" w:customStyle="1">
    <w:name w:val="Grid Table 7 Colorful - Accent 4"/>
    <w:basedOn w:val="87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6" w:customStyle="1">
    <w:name w:val="Grid Table 7 Colorful - Accent 5"/>
    <w:basedOn w:val="87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37" w:customStyle="1">
    <w:name w:val="Grid Table 7 Colorful - Accent 6"/>
    <w:basedOn w:val="87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8" w:customStyle="1">
    <w:name w:val="清单表 1 浅色1"/>
    <w:basedOn w:val="87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9" w:customStyle="1">
    <w:name w:val="List Table 1 Light - Accent 1"/>
    <w:basedOn w:val="877"/>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40" w:customStyle="1">
    <w:name w:val="List Table 1 Light - Accent 2"/>
    <w:basedOn w:val="87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41" w:customStyle="1">
    <w:name w:val="List Table 1 Light - Accent 3"/>
    <w:basedOn w:val="87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42" w:customStyle="1">
    <w:name w:val="List Table 1 Light - Accent 4"/>
    <w:basedOn w:val="87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43" w:customStyle="1">
    <w:name w:val="List Table 1 Light - Accent 5"/>
    <w:basedOn w:val="87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44" w:customStyle="1">
    <w:name w:val="List Table 1 Light - Accent 6"/>
    <w:basedOn w:val="87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45" w:customStyle="1">
    <w:name w:val="清单表 21"/>
    <w:basedOn w:val="87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6" w:customStyle="1">
    <w:name w:val="List Table 2 - Accent 1"/>
    <w:basedOn w:val="87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47" w:customStyle="1">
    <w:name w:val="List Table 2 - Accent 2"/>
    <w:basedOn w:val="87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8" w:customStyle="1">
    <w:name w:val="List Table 2 - Accent 3"/>
    <w:basedOn w:val="87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49" w:customStyle="1">
    <w:name w:val="List Table 2 - Accent 4"/>
    <w:basedOn w:val="87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50" w:customStyle="1">
    <w:name w:val="List Table 2 - Accent 5"/>
    <w:basedOn w:val="87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51" w:customStyle="1">
    <w:name w:val="List Table 2 - Accent 6"/>
    <w:basedOn w:val="87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52" w:customStyle="1">
    <w:name w:val="清单表 31"/>
    <w:basedOn w:val="8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3" w:customStyle="1">
    <w:name w:val="List Table 3 - Accent 1"/>
    <w:basedOn w:val="87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54" w:customStyle="1">
    <w:name w:val="List Table 3 - Accent 2"/>
    <w:basedOn w:val="87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55" w:customStyle="1">
    <w:name w:val="List Table 3 - Accent 3"/>
    <w:basedOn w:val="87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56" w:customStyle="1">
    <w:name w:val="List Table 3 - Accent 4"/>
    <w:basedOn w:val="87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57" w:customStyle="1">
    <w:name w:val="List Table 3 - Accent 5"/>
    <w:basedOn w:val="87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58" w:customStyle="1">
    <w:name w:val="List Table 3 - Accent 6"/>
    <w:basedOn w:val="87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59" w:customStyle="1">
    <w:name w:val="清单表 41"/>
    <w:basedOn w:val="8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0" w:customStyle="1">
    <w:name w:val="List Table 4 - Accent 1"/>
    <w:basedOn w:val="87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61" w:customStyle="1">
    <w:name w:val="List Table 4 - Accent 2"/>
    <w:basedOn w:val="87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62" w:customStyle="1">
    <w:name w:val="List Table 4 - Accent 3"/>
    <w:basedOn w:val="87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63" w:customStyle="1">
    <w:name w:val="List Table 4 - Accent 4"/>
    <w:basedOn w:val="87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64" w:customStyle="1">
    <w:name w:val="List Table 4 - Accent 5"/>
    <w:basedOn w:val="87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65" w:customStyle="1">
    <w:name w:val="List Table 4 - Accent 6"/>
    <w:basedOn w:val="87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66" w:customStyle="1">
    <w:name w:val="清单表 5 深色1"/>
    <w:basedOn w:val="87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1"/>
    <w:basedOn w:val="87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2"/>
    <w:basedOn w:val="87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3"/>
    <w:basedOn w:val="87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4"/>
    <w:basedOn w:val="87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5"/>
    <w:basedOn w:val="87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6"/>
    <w:basedOn w:val="87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清单表 6 彩色1"/>
    <w:basedOn w:val="87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4" w:customStyle="1">
    <w:name w:val="List Table 6 Colorful - Accent 1"/>
    <w:basedOn w:val="877"/>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75" w:customStyle="1">
    <w:name w:val="List Table 6 Colorful - Accent 2"/>
    <w:basedOn w:val="87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76" w:customStyle="1">
    <w:name w:val="List Table 6 Colorful - Accent 3"/>
    <w:basedOn w:val="87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77" w:customStyle="1">
    <w:name w:val="List Table 6 Colorful - Accent 4"/>
    <w:basedOn w:val="87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78" w:customStyle="1">
    <w:name w:val="List Table 6 Colorful - Accent 5"/>
    <w:basedOn w:val="87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79" w:customStyle="1">
    <w:name w:val="List Table 6 Colorful - Accent 6"/>
    <w:basedOn w:val="87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80" w:customStyle="1">
    <w:name w:val="清单表 7 彩色1"/>
    <w:basedOn w:val="87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1" w:customStyle="1">
    <w:name w:val="List Table 7 Colorful - Accent 1"/>
    <w:basedOn w:val="877"/>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82" w:customStyle="1">
    <w:name w:val="List Table 7 Colorful - Accent 2"/>
    <w:basedOn w:val="87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83" w:customStyle="1">
    <w:name w:val="List Table 7 Colorful - Accent 3"/>
    <w:basedOn w:val="87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84" w:customStyle="1">
    <w:name w:val="List Table 7 Colorful - Accent 4"/>
    <w:basedOn w:val="87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85" w:customStyle="1">
    <w:name w:val="List Table 7 Colorful - Accent 5"/>
    <w:basedOn w:val="877"/>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86" w:customStyle="1">
    <w:name w:val="List Table 7 Colorful - Accent 6"/>
    <w:basedOn w:val="87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87" w:customStyle="1">
    <w:name w:val="Lined - Accent"/>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8" w:customStyle="1">
    <w:name w:val="Lined - Accent 1"/>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9" w:customStyle="1">
    <w:name w:val="Lined - Accent 2"/>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0" w:customStyle="1">
    <w:name w:val="Lined - Accent 3"/>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1" w:customStyle="1">
    <w:name w:val="Lined - Accent 4"/>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2" w:customStyle="1">
    <w:name w:val="Lined - Accent 5"/>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93" w:customStyle="1">
    <w:name w:val="Lined - Accent 6"/>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4" w:customStyle="1">
    <w:name w:val="Bordered &amp; Lined - Accent"/>
    <w:basedOn w:val="87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5" w:customStyle="1">
    <w:name w:val="Bordered &amp; Lined - Accent 1"/>
    <w:basedOn w:val="87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96" w:customStyle="1">
    <w:name w:val="Bordered &amp; Lined - Accent 2"/>
    <w:basedOn w:val="87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7" w:customStyle="1">
    <w:name w:val="Bordered &amp; Lined - Accent 3"/>
    <w:basedOn w:val="87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8" w:customStyle="1">
    <w:name w:val="Bordered &amp; Lined - Accent 4"/>
    <w:basedOn w:val="87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9" w:customStyle="1">
    <w:name w:val="Bordered &amp; Lined - Accent 5"/>
    <w:basedOn w:val="87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00" w:customStyle="1">
    <w:name w:val="Bordered &amp; Lined - Accent 6"/>
    <w:basedOn w:val="87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1" w:customStyle="1">
    <w:name w:val="Bordered"/>
    <w:basedOn w:val="87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2" w:customStyle="1">
    <w:name w:val="Bordered - Accent 1"/>
    <w:basedOn w:val="87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03" w:customStyle="1">
    <w:name w:val="Bordered - Accent 2"/>
    <w:basedOn w:val="87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04" w:customStyle="1">
    <w:name w:val="Bordered - Accent 3"/>
    <w:basedOn w:val="87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05" w:customStyle="1">
    <w:name w:val="Bordered - Accent 4"/>
    <w:basedOn w:val="87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06" w:customStyle="1">
    <w:name w:val="Bordered - Accent 5"/>
    <w:basedOn w:val="87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07" w:customStyle="1">
    <w:name w:val="Bordered - Accent 6"/>
    <w:basedOn w:val="87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08" w:customStyle="1">
    <w:name w:val="脚注文本 字符"/>
    <w:link w:val="903"/>
    <w:uiPriority w:val="99"/>
    <w:qFormat/>
    <w:rPr>
      <w:sz w:val="18"/>
    </w:rPr>
  </w:style>
  <w:style w:type="character" w:styleId="1109" w:customStyle="1">
    <w:name w:val="尾注文本 字符"/>
    <w:link w:val="895"/>
    <w:uiPriority w:val="99"/>
    <w:qFormat/>
    <w:rPr>
      <w:sz w:val="20"/>
    </w:rPr>
  </w:style>
  <w:style w:type="paragraph" w:styleId="1110" w:customStyle="1">
    <w:name w:val="TOC 标题1"/>
    <w:uiPriority w:val="39"/>
    <w:unhideWhenUsed/>
    <w:qFormat/>
    <w:rPr>
      <w:rFonts w:hint="default" w:ascii="Times New Roman" w:hAnsi="Times New Roman" w:eastAsia="宋体" w:cs="Times New Roman"/>
      <w:lang w:val="en-US" w:eastAsia="zh-CN" w:bidi="ar-SA"/>
    </w:rPr>
  </w:style>
  <w:style w:type="paragraph" w:styleId="1111" w:customStyle="1">
    <w:name w:val="正文1"/>
    <w:basedOn w:val="879"/>
    <w:uiPriority w:val="99"/>
    <w:qFormat/>
    <w:rPr>
      <w:szCs w:val="21"/>
    </w:rPr>
  </w:style>
  <w:style w:type="paragraph" w:styleId="1112" w:customStyle="1">
    <w:name w:val="首行缩进"/>
    <w:basedOn w:val="866"/>
    <w:uiPriority w:val="0"/>
    <w:qFormat/>
    <w:pPr>
      <w:ind w:firstLine="480"/>
    </w:pPr>
    <w:rPr>
      <w:lang w:val="zh-CN"/>
    </w:rPr>
  </w:style>
  <w:style w:type="paragraph" w:styleId="111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14" w:customStyle="1">
    <w:name w:val="标题 1 字符"/>
    <w:link w:val="867"/>
    <w:uiPriority w:val="0"/>
    <w:qFormat/>
    <w:rPr>
      <w:rFonts w:ascii="楷体_GB2312" w:hAnsi="楷体_GB2312" w:eastAsia="宋体"/>
      <w:b/>
      <w:sz w:val="44"/>
      <w:lang w:val="en-US" w:eastAsia="zh-CN" w:bidi="ar-SA"/>
    </w:rPr>
  </w:style>
  <w:style w:type="character" w:styleId="1115" w:customStyle="1">
    <w:name w:val="正文缩进 字符"/>
    <w:link w:val="879"/>
    <w:uiPriority w:val="0"/>
    <w:qFormat/>
    <w:rPr>
      <w:rFonts w:eastAsia="宋体"/>
      <w:sz w:val="21"/>
      <w:lang w:val="en-US" w:eastAsia="zh-CN" w:bidi="ar-SA"/>
    </w:rPr>
  </w:style>
  <w:style w:type="character" w:styleId="1116" w:customStyle="1">
    <w:name w:val="批注文字 字符"/>
    <w:link w:val="882"/>
    <w:uiPriority w:val="99"/>
    <w:qFormat/>
    <w:rPr>
      <w:sz w:val="21"/>
      <w:szCs w:val="24"/>
    </w:rPr>
  </w:style>
  <w:style w:type="character" w:styleId="1117" w:customStyle="1">
    <w:name w:val="纯文本 字符"/>
    <w:link w:val="891"/>
    <w:uiPriority w:val="0"/>
    <w:qFormat/>
    <w:rPr>
      <w:rFonts w:ascii="宋体" w:hAnsi="Courier New"/>
      <w:sz w:val="21"/>
    </w:rPr>
  </w:style>
  <w:style w:type="character" w:styleId="1118" w:customStyle="1">
    <w:name w:val="副标题 字符"/>
    <w:link w:val="902"/>
    <w:uiPriority w:val="0"/>
    <w:qFormat/>
    <w:rPr>
      <w:rFonts w:ascii="Cambria" w:hAnsi="Cambria"/>
      <w:b/>
      <w:bCs/>
      <w:sz w:val="32"/>
      <w:szCs w:val="32"/>
    </w:rPr>
  </w:style>
  <w:style w:type="character" w:styleId="1119" w:customStyle="1">
    <w:name w:val="HTML 预设格式 字符"/>
    <w:link w:val="911"/>
    <w:uiPriority w:val="0"/>
    <w:qFormat/>
    <w:rPr>
      <w:rFonts w:ascii="黑体" w:hAnsi="Courier New" w:eastAsia="黑体" w:cs="Courier New"/>
    </w:rPr>
  </w:style>
  <w:style w:type="character" w:styleId="1120" w:customStyle="1">
    <w:name w:val="批注主题 字符"/>
    <w:link w:val="915"/>
    <w:uiPriority w:val="0"/>
    <w:qFormat/>
    <w:rPr>
      <w:b/>
      <w:bCs/>
      <w:sz w:val="21"/>
      <w:szCs w:val="24"/>
    </w:rPr>
  </w:style>
  <w:style w:type="character" w:styleId="1121" w:customStyle="1">
    <w:name w:val="标题2 Char"/>
    <w:uiPriority w:val="0"/>
    <w:qFormat/>
    <w:rPr>
      <w:rFonts w:ascii="方正楷体_GBK" w:hAnsi="Book Antiqua" w:eastAsia="方正楷体_GBK"/>
      <w:sz w:val="32"/>
      <w:lang w:val="en-US" w:eastAsia="zh-CN" w:bidi="ar-SA"/>
    </w:rPr>
  </w:style>
  <w:style w:type="character" w:styleId="1122"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1123" w:customStyle="1">
    <w:name w:val="jj1"/>
    <w:uiPriority w:val="0"/>
    <w:qFormat/>
    <w:rPr>
      <w:sz w:val="20"/>
      <w:szCs w:val="20"/>
      <w:u w:val="none"/>
    </w:rPr>
  </w:style>
  <w:style w:type="character" w:styleId="1124" w:customStyle="1">
    <w:name w:val="列出段落 Char"/>
    <w:link w:val="1125"/>
    <w:uiPriority w:val="0"/>
    <w:qFormat/>
    <w:rPr>
      <w:rFonts w:ascii="Calibri" w:hAnsi="Calibri"/>
      <w:sz w:val="24"/>
      <w:szCs w:val="24"/>
      <w:lang w:eastAsia="en-US" w:bidi="en-US"/>
    </w:rPr>
  </w:style>
  <w:style w:type="paragraph" w:styleId="1125" w:customStyle="1">
    <w:name w:val="列出段落1"/>
    <w:basedOn w:val="866"/>
    <w:link w:val="1124"/>
    <w:uiPriority w:val="0"/>
    <w:qFormat/>
    <w:pPr>
      <w:contextualSpacing/>
      <w:ind w:left="720"/>
      <w:jc w:val="left"/>
      <w:widowControl/>
    </w:pPr>
    <w:rPr>
      <w:rFonts w:ascii="Calibri" w:hAnsi="Calibri"/>
      <w:sz w:val="24"/>
      <w:lang w:eastAsia="en-US" w:bidi="en-US"/>
    </w:rPr>
  </w:style>
  <w:style w:type="character" w:styleId="1126"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paragraph" w:styleId="1127" w:customStyle="1">
    <w:name w:val="第四级"/>
    <w:basedOn w:val="866"/>
    <w:next w:val="866"/>
    <w:uiPriority w:val="0"/>
    <w:qFormat/>
    <w:pPr>
      <w:numPr>
        <w:ilvl w:val="3"/>
        <w:numId w:val="1"/>
      </w:numPr>
      <w:spacing w:line="360" w:lineRule="auto"/>
    </w:pPr>
    <w:rPr>
      <w:rFonts w:ascii="宋体" w:hAnsi="宋体" w:eastAsia="仿宋"/>
      <w:sz w:val="28"/>
      <w:szCs w:val="21"/>
    </w:rPr>
  </w:style>
  <w:style w:type="paragraph" w:styleId="1128" w:customStyle="1">
    <w:name w:val="正文空2格  1."/>
    <w:basedOn w:val="866"/>
    <w:uiPriority w:val="0"/>
    <w:qFormat/>
    <w:pPr>
      <w:ind w:firstLine="480"/>
      <w:spacing w:line="360" w:lineRule="auto"/>
    </w:pPr>
    <w:rPr>
      <w:rFonts w:ascii="宋体" w:eastAsia="仿宋" w:cs="宋体"/>
      <w:sz w:val="28"/>
      <w:szCs w:val="20"/>
    </w:rPr>
  </w:style>
  <w:style w:type="paragraph" w:styleId="1129" w:customStyle="1">
    <w:name w:val="普通正文"/>
    <w:basedOn w:val="866"/>
    <w:uiPriority w:val="0"/>
    <w:qFormat/>
    <w:pPr>
      <w:ind w:firstLine="480"/>
      <w:jc w:val="left"/>
      <w:spacing w:before="120" w:after="120" w:line="360" w:lineRule="auto"/>
    </w:pPr>
    <w:rPr>
      <w:rFonts w:ascii="Arial" w:hAnsi="Arial"/>
      <w:sz w:val="24"/>
    </w:rPr>
  </w:style>
  <w:style w:type="paragraph" w:styleId="1130" w:customStyle="1">
    <w:name w:val="MSG_EN_FONT_STYLE_NAME_TEMPLATE_ROLE_NUMBER MSG_EN_FONT_STYLE_NAME_BY_ROLE_TEXT 2"/>
    <w:basedOn w:val="866"/>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1131"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132" w:customStyle="1">
    <w:name w:val="正文（缩进）"/>
    <w:basedOn w:val="866"/>
    <w:uiPriority w:val="0"/>
    <w:qFormat/>
    <w:pPr>
      <w:ind w:firstLine="480"/>
      <w:spacing w:before="156" w:after="156"/>
    </w:pPr>
  </w:style>
  <w:style w:type="paragraph" w:styleId="1133" w:customStyle="1">
    <w:name w:val="段"/>
    <w:next w:val="866"/>
    <w:uiPriority w:val="0"/>
    <w:qFormat/>
    <w:pPr>
      <w:ind w:firstLine="200"/>
      <w:jc w:val="both"/>
    </w:pPr>
    <w:rPr>
      <w:rFonts w:hint="default" w:ascii="宋体" w:hAnsi="Calibri" w:eastAsia="宋体" w:cs="Times New Roman"/>
      <w:sz w:val="21"/>
      <w:lang w:val="en-US" w:eastAsia="zh-CN" w:bidi="ar-SA"/>
    </w:rPr>
  </w:style>
  <w:style w:type="paragraph" w:styleId="1134" w:customStyle="1">
    <w:name w:val="标题2"/>
    <w:basedOn w:val="866"/>
    <w:next w:val="866"/>
    <w:uiPriority w:val="0"/>
    <w:qFormat/>
    <w:pPr>
      <w:jc w:val="center"/>
    </w:pPr>
    <w:rPr>
      <w:rFonts w:eastAsia="方正楷体_GBK"/>
    </w:rPr>
  </w:style>
  <w:style w:type="paragraph" w:styleId="1135" w:customStyle="1">
    <w:name w:val="HTML 预先格式化"/>
    <w:basedOn w:val="8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36" w:customStyle="1">
    <w:name w:val="Char Char Char Char1 Char Char"/>
    <w:basedOn w:val="866"/>
    <w:uiPriority w:val="0"/>
    <w:qFormat/>
    <w:pPr>
      <w:tabs>
        <w:tab w:val="left" w:pos="360" w:leader="none"/>
      </w:tabs>
    </w:pPr>
    <w:rPr>
      <w:sz w:val="24"/>
    </w:rPr>
  </w:style>
  <w:style w:type="paragraph" w:styleId="1137" w:customStyle="1">
    <w:name w:val="默认段落字体 Para Char Char Char Char Char Char Char Char Char1 Char Char Char Char Char Char Char"/>
    <w:basedOn w:val="881"/>
    <w:uiPriority w:val="0"/>
    <w:qFormat/>
    <w:rPr>
      <w:rFonts w:ascii="Tahoma" w:hAnsi="Tahoma"/>
      <w:sz w:val="24"/>
    </w:rPr>
  </w:style>
  <w:style w:type="paragraph" w:styleId="1138" w:customStyle="1">
    <w:name w:val="WPSOffice手动目录 1"/>
    <w:uiPriority w:val="0"/>
    <w:qFormat/>
    <w:rPr>
      <w:rFonts w:hint="default" w:ascii="Times New Roman" w:hAnsi="Times New Roman" w:eastAsia="宋体" w:cs="Times New Roman"/>
      <w:lang w:val="en-US" w:eastAsia="zh-CN" w:bidi="ar-SA"/>
    </w:rPr>
  </w:style>
  <w:style w:type="paragraph" w:styleId="1139" w:customStyle="1">
    <w:name w:val="Char Char Char Char"/>
    <w:basedOn w:val="881"/>
    <w:uiPriority w:val="0"/>
    <w:qFormat/>
    <w:pPr>
      <w:spacing w:line="360" w:lineRule="auto"/>
    </w:pPr>
    <w:rPr>
      <w:rFonts w:ascii="Tahoma" w:hAnsi="Tahoma"/>
      <w:sz w:val="24"/>
    </w:rPr>
  </w:style>
  <w:style w:type="paragraph" w:styleId="1140" w:customStyle="1">
    <w:name w:val="Char"/>
    <w:basedOn w:val="866"/>
    <w:uiPriority w:val="0"/>
    <w:qFormat/>
    <w:pPr>
      <w:tabs>
        <w:tab w:val="left" w:pos="360" w:leader="none"/>
      </w:tabs>
    </w:pPr>
    <w:rPr>
      <w:sz w:val="24"/>
    </w:rPr>
  </w:style>
  <w:style w:type="paragraph" w:styleId="1141" w:customStyle="1">
    <w:name w:val="正文 1.1.1"/>
    <w:basedOn w:val="866"/>
    <w:next w:val="866"/>
    <w:uiPriority w:val="0"/>
    <w:qFormat/>
    <w:pPr>
      <w:numPr>
        <w:ilvl w:val="2"/>
        <w:numId w:val="1"/>
      </w:numPr>
      <w:spacing w:line="360" w:lineRule="auto"/>
      <w:outlineLvl w:val="2"/>
    </w:pPr>
    <w:rPr>
      <w:rFonts w:ascii="宋体" w:hAnsi="宋体"/>
      <w:color w:val="000000"/>
      <w:sz w:val="28"/>
      <w:szCs w:val="21"/>
    </w:rPr>
  </w:style>
  <w:style w:type="paragraph" w:styleId="1142" w:customStyle="1">
    <w:name w:val="正文 1.1"/>
    <w:basedOn w:val="866"/>
    <w:next w:val="1141"/>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43" w:customStyle="1">
    <w:name w:val="正文 第一章"/>
    <w:basedOn w:val="866"/>
    <w:next w:val="1142"/>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44">
    <w:name w:val="List Paragraph"/>
    <w:basedOn w:val="866"/>
    <w:uiPriority w:val="34"/>
    <w:qFormat/>
    <w:pPr>
      <w:ind w:firstLine="420"/>
    </w:pPr>
    <w:rPr>
      <w:rFonts w:ascii="Calibri" w:hAnsi="Calibri"/>
      <w:szCs w:val="22"/>
    </w:rPr>
  </w:style>
  <w:style w:type="paragraph" w:styleId="1145"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14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47" w:customStyle="1">
    <w:name w:val="Char1"/>
    <w:basedOn w:val="866"/>
    <w:uiPriority w:val="0"/>
    <w:qFormat/>
    <w:rPr>
      <w:rFonts w:ascii="Tahoma" w:hAnsi="Tahoma"/>
      <w:sz w:val="24"/>
      <w:szCs w:val="20"/>
    </w:rPr>
  </w:style>
  <w:style w:type="paragraph" w:styleId="1148" w:customStyle="1">
    <w:name w:val="Coms Alinea"/>
    <w:uiPriority w:val="0"/>
    <w:qFormat/>
    <w:pPr>
      <w:widowControl w:val="off"/>
    </w:pPr>
    <w:rPr>
      <w:rFonts w:hint="default" w:ascii="Arial" w:hAnsi="Arial" w:eastAsia="宋体" w:cs="Arial"/>
      <w:lang w:val="en-US" w:eastAsia="zh-CN" w:bidi="ar-SA"/>
    </w:rPr>
  </w:style>
  <w:style w:type="paragraph" w:styleId="1149" w:customStyle="1">
    <w:name w:val="Char Char Char Char1 Char Char Char"/>
    <w:basedOn w:val="881"/>
    <w:uiPriority w:val="0"/>
    <w:qFormat/>
    <w:pPr>
      <w:spacing w:line="360" w:lineRule="auto"/>
    </w:pPr>
    <w:rPr>
      <w:rFonts w:ascii="Tahoma" w:hAnsi="Tahoma"/>
      <w:sz w:val="24"/>
    </w:rPr>
  </w:style>
  <w:style w:type="paragraph" w:styleId="1150"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151" w:customStyle="1">
    <w:name w:val="BioQuote Tekst"/>
    <w:basedOn w:val="866"/>
    <w:uiPriority w:val="0"/>
    <w:qFormat/>
    <w:pPr>
      <w:ind w:right="-1"/>
    </w:pPr>
    <w:rPr>
      <w:rFonts w:ascii="Arial" w:hAnsi="Arial"/>
      <w:sz w:val="22"/>
      <w:szCs w:val="20"/>
      <w:lang w:eastAsia="en-US"/>
    </w:rPr>
  </w:style>
  <w:style w:type="paragraph" w:styleId="1152" w:customStyle="1">
    <w:name w:val="xl47"/>
    <w:basedOn w:val="86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53" w:customStyle="1">
    <w:name w:val="纯文本2"/>
    <w:basedOn w:val="866"/>
    <w:uiPriority w:val="0"/>
    <w:qFormat/>
    <w:rPr>
      <w:rFonts w:ascii="宋体" w:hAnsi="Courier New" w:eastAsia="楷体_GB2312"/>
      <w:sz w:val="26"/>
      <w:szCs w:val="20"/>
    </w:rPr>
  </w:style>
  <w:style w:type="paragraph" w:styleId="1154" w:customStyle="1">
    <w:name w:val="标题1"/>
    <w:basedOn w:val="866"/>
    <w:next w:val="866"/>
    <w:uiPriority w:val="0"/>
    <w:qFormat/>
    <w:pPr>
      <w:jc w:val="center"/>
      <w:spacing w:line="700" w:lineRule="atLeast"/>
      <w:tabs>
        <w:tab w:val="left" w:pos="9193" w:leader="none"/>
        <w:tab w:val="left" w:pos="9827" w:leader="none"/>
      </w:tabs>
    </w:pPr>
    <w:rPr>
      <w:rFonts w:eastAsia="方正小标宋_GBK"/>
      <w:sz w:val="44"/>
    </w:rPr>
  </w:style>
  <w:style w:type="paragraph" w:styleId="1155" w:customStyle="1">
    <w:name w:val="TOC 标题11"/>
    <w:basedOn w:val="867"/>
    <w:next w:val="866"/>
    <w:uiPriority w:val="39"/>
    <w:qFormat/>
    <w:pPr>
      <w:jc w:val="left"/>
      <w:keepLines/>
      <w:spacing w:before="480" w:line="276" w:lineRule="auto"/>
      <w:outlineLvl w:val="9"/>
    </w:pPr>
    <w:rPr>
      <w:rFonts w:ascii="Cambria" w:hAnsi="Cambria"/>
      <w:b w:val="0"/>
      <w:bCs/>
      <w:color w:val="365f91"/>
      <w:szCs w:val="28"/>
    </w:rPr>
  </w:style>
  <w:style w:type="paragraph" w:styleId="1156" w:customStyle="1">
    <w:name w:val="标题3"/>
    <w:basedOn w:val="866"/>
    <w:next w:val="866"/>
    <w:uiPriority w:val="0"/>
    <w:qFormat/>
    <w:rPr>
      <w:rFonts w:eastAsia="方正黑体_GBK"/>
    </w:rPr>
  </w:style>
  <w:style w:type="paragraph" w:styleId="1157" w:customStyle="1">
    <w:name w:val="纯文本1"/>
    <w:basedOn w:val="866"/>
    <w:uiPriority w:val="0"/>
    <w:qFormat/>
    <w:rPr>
      <w:rFonts w:hAnsi="Courier New" w:eastAsia="楷体_GB2312"/>
      <w:color w:val="000000"/>
      <w:sz w:val="26"/>
    </w:rPr>
  </w:style>
  <w:style w:type="paragraph" w:styleId="1158" w:customStyle="1">
    <w:name w:val="p2"/>
    <w:basedOn w:val="866"/>
    <w:uiPriority w:val="0"/>
    <w:qFormat/>
    <w:pPr>
      <w:jc w:val="left"/>
      <w:spacing w:before="100" w:beforeAutospacing="1" w:after="100" w:afterAutospacing="1"/>
      <w:widowControl/>
    </w:pPr>
    <w:rPr>
      <w:rFonts w:ascii="宋体" w:hAnsi="宋体" w:cs="宋体"/>
      <w:sz w:val="24"/>
    </w:rPr>
  </w:style>
  <w:style w:type="paragraph" w:styleId="115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文档正文"/>
    <w:basedOn w:val="866"/>
    <w:uiPriority w:val="0"/>
    <w:unhideWhenUsed/>
    <w:qFormat/>
    <w:pPr>
      <w:ind w:firstLine="482"/>
      <w:spacing w:before="60" w:after="60" w:line="360" w:lineRule="auto"/>
    </w:pPr>
  </w:style>
  <w:style w:type="character" w:styleId="1161" w:customStyle="1">
    <w:name w:val="font01"/>
    <w:basedOn w:val="876"/>
    <w:uiPriority w:val="0"/>
    <w:qFormat/>
    <w:rPr>
      <w:rFonts w:hint="eastAsia" w:ascii="宋体" w:hAnsi="宋体" w:eastAsia="宋体" w:cs="宋体"/>
      <w:color w:val="000000"/>
      <w:sz w:val="22"/>
      <w:szCs w:val="22"/>
      <w:u w:val="none"/>
    </w:rPr>
  </w:style>
  <w:style w:type="character" w:styleId="1162" w:customStyle="1">
    <w:name w:val="font11"/>
    <w:uiPriority w:val="0"/>
    <w:qFormat/>
    <w:rPr>
      <w:rFonts w:hint="eastAsia" w:ascii="宋体" w:hAnsi="宋体" w:eastAsia="宋体" w:cs="宋体"/>
      <w:color w:val="ff0000"/>
      <w:sz w:val="22"/>
      <w:szCs w:val="22"/>
      <w:u w:val="none"/>
    </w:rPr>
  </w:style>
  <w:style w:type="character" w:styleId="1163" w:customStyle="1">
    <w:name w:val="font31"/>
    <w:basedOn w:val="876"/>
    <w:uiPriority w:val="0"/>
    <w:qFormat/>
    <w:rPr>
      <w:rFonts w:hint="eastAsia" w:ascii="宋体" w:hAnsi="宋体" w:eastAsia="宋体" w:cs="宋体"/>
      <w:color w:val="000000"/>
      <w:sz w:val="22"/>
      <w:szCs w:val="22"/>
      <w:u w:val="none"/>
    </w:rPr>
  </w:style>
  <w:style w:type="paragraph" w:styleId="1164" w:customStyle="1">
    <w:name w:val="Table Paragraph"/>
    <w:basedOn w:val="866"/>
    <w:uiPriority w:val="1"/>
    <w:qFormat/>
    <w:pPr>
      <w:jc w:val="left"/>
    </w:pPr>
    <w:rPr>
      <w:sz w:val="24"/>
    </w:rPr>
  </w:style>
  <w:style w:type="paragraph" w:styleId="1165" w:customStyle="1">
    <w:name w:val="正文2"/>
    <w:basedOn w:val="866"/>
    <w:uiPriority w:val="0"/>
    <w:qFormat/>
    <w:pPr>
      <w:ind w:firstLine="200"/>
      <w:spacing w:before="156" w:line="360" w:lineRule="auto"/>
    </w:pPr>
    <w:rPr>
      <w:sz w:val="24"/>
      <w:szCs w:val="20"/>
    </w:rPr>
  </w:style>
  <w:style w:type="character" w:styleId="1166" w:customStyle="1">
    <w:name w:val="NormalCharacter"/>
    <w:link w:val="1167"/>
    <w:uiPriority w:val="0"/>
    <w:semiHidden/>
    <w:qFormat/>
    <w:rPr>
      <w:sz w:val="20"/>
      <w:szCs w:val="20"/>
    </w:rPr>
  </w:style>
  <w:style w:type="paragraph" w:styleId="1167" w:customStyle="1">
    <w:name w:val="UserStyle_0"/>
    <w:basedOn w:val="866"/>
    <w:link w:val="1166"/>
    <w:uiPriority w:val="0"/>
    <w:semiHidden/>
    <w:qFormat/>
    <w:pPr>
      <w:widowControl/>
    </w:pPr>
    <w:rPr>
      <w:sz w:val="20"/>
      <w:szCs w:val="20"/>
    </w:rPr>
  </w:style>
  <w:style w:type="paragraph" w:styleId="1168" w:customStyle="1">
    <w:name w:val="Body text|1"/>
    <w:uiPriority w:val="0"/>
    <w:qFormat/>
    <w:pPr>
      <w:jc w:val="both"/>
      <w:spacing w:after="60"/>
      <w:widowControl w:val="off"/>
    </w:pPr>
    <w:rPr>
      <w:rFonts w:hint="default" w:ascii="宋体" w:hAnsi="宋体" w:eastAsia="宋体" w:cs="宋体"/>
      <w:lang w:val="zh-TW" w:eastAsia="zh-TW" w:bidi="zh-TW"/>
    </w:rPr>
  </w:style>
  <w:style w:type="character" w:styleId="1169" w:customStyle="1">
    <w:name w:val="font61"/>
    <w:basedOn w:val="876"/>
    <w:uiPriority w:val="0"/>
    <w:qFormat/>
    <w:rPr>
      <w:rFonts w:ascii="方正仿宋_GBK" w:hAnsi="方正仿宋_GBK" w:eastAsia="方正仿宋_GBK" w:cs="方正仿宋_GBK"/>
      <w:b/>
      <w:bCs/>
      <w:color w:val="000000"/>
      <w:sz w:val="22"/>
      <w:szCs w:val="22"/>
      <w:u w:val="none"/>
    </w:rPr>
  </w:style>
  <w:style w:type="character" w:styleId="1170" w:customStyle="1">
    <w:name w:val="font51"/>
    <w:basedOn w:val="876"/>
    <w:uiPriority w:val="0"/>
    <w:qFormat/>
    <w:rPr>
      <w:rFonts w:hint="eastAsia" w:ascii="方正仿宋_GBK" w:hAnsi="方正仿宋_GBK" w:eastAsia="方正仿宋_GBK" w:cs="方正仿宋_GBK"/>
      <w:color w:val="000000"/>
      <w:sz w:val="22"/>
      <w:szCs w:val="22"/>
      <w:u w:val="none"/>
    </w:rPr>
  </w:style>
  <w:style w:type="character" w:styleId="1171" w:customStyle="1">
    <w:name w:val="font41"/>
    <w:basedOn w:val="876"/>
    <w:uiPriority w:val="0"/>
    <w:qFormat/>
    <w:rPr>
      <w:rFonts w:hint="default" w:ascii="Times New Roman" w:hAnsi="Times New Roman" w:cs="Times New Roman"/>
      <w:color w:val="000000"/>
      <w:sz w:val="22"/>
      <w:szCs w:val="22"/>
      <w:u w:val="none"/>
    </w:rPr>
  </w:style>
  <w:style w:type="character" w:styleId="1172" w:customStyle="1">
    <w:name w:val="font81"/>
    <w:basedOn w:val="876"/>
    <w:uiPriority w:val="0"/>
    <w:qFormat/>
    <w:rPr>
      <w:rFonts w:hint="eastAsia" w:ascii="宋体" w:hAnsi="宋体" w:eastAsia="宋体" w:cs="宋体"/>
      <w:b/>
      <w:bCs/>
      <w:color w:val="000000"/>
      <w:sz w:val="22"/>
      <w:szCs w:val="22"/>
      <w:u w:val="none"/>
    </w:rPr>
  </w:style>
  <w:style w:type="paragraph" w:styleId="1173" w:customStyle="1">
    <w:name w:val="列出段落2"/>
    <w:basedOn w:val="866"/>
    <w:uiPriority w:val="34"/>
    <w:qFormat/>
    <w:pPr>
      <w:ind w:firstLine="420"/>
    </w:pPr>
    <w:rPr>
      <w:rFonts w:eastAsia="仿宋"/>
      <w:sz w:val="30"/>
    </w:rPr>
  </w:style>
  <w:style w:type="paragraph" w:styleId="1174" w:customStyle="1">
    <w:name w:val="正文 正文"/>
    <w:basedOn w:val="866"/>
    <w:uiPriority w:val="0"/>
    <w:qFormat/>
    <w:pPr>
      <w:ind w:firstLine="200"/>
      <w:spacing w:before="50" w:after="50" w:line="360" w:lineRule="auto"/>
    </w:pPr>
  </w:style>
  <w:style w:type="paragraph" w:styleId="1175"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176" w:customStyle="1">
    <w:name w:val="修订2"/>
    <w:hidden/>
    <w:uiPriority w:val="99"/>
    <w:unhideWhenUsed/>
    <w:qFormat/>
    <w:rPr>
      <w:rFonts w:hint="default" w:ascii="Times New Roman" w:hAnsi="Times New Roman" w:eastAsia="宋体" w:cs="Times New Roman"/>
      <w:sz w:val="21"/>
      <w:szCs w:val="24"/>
      <w:lang w:val="en-US" w:eastAsia="zh-CN" w:bidi="ar-SA"/>
    </w:rPr>
  </w:style>
  <w:style w:type="character" w:styleId="1177" w:customStyle="1">
    <w:name w:val="font21"/>
    <w:basedOn w:val="876"/>
    <w:uiPriority w:val="0"/>
    <w:qFormat/>
    <w:rPr>
      <w:rFonts w:hint="default" w:ascii="Times New Roman" w:hAnsi="Times New Roman" w:cs="Times New Roman"/>
      <w:color w:val="000000"/>
      <w:sz w:val="21"/>
      <w:szCs w:val="21"/>
      <w:u w:val="none"/>
    </w:rPr>
  </w:style>
  <w:style w:type="paragraph" w:styleId="1178" w:customStyle="1">
    <w:name w:val="页脚1"/>
    <w:basedOn w:val="866"/>
    <w:uiPriority w:val="0"/>
    <w:qFormat/>
    <w:pPr>
      <w:jc w:val="left"/>
      <w:tabs>
        <w:tab w:val="center" w:pos="4153" w:leader="none"/>
        <w:tab w:val="right" w:pos="8306" w:leader="none"/>
      </w:tabs>
    </w:pPr>
    <w:rPr>
      <w:sz w:val="18"/>
      <w:szCs w:val="18"/>
    </w:rPr>
  </w:style>
  <w:style w:type="paragraph" w:styleId="1179" w:customStyle="1">
    <w:name w:val="UserStyle_609"/>
    <w:basedOn w:val="866"/>
    <w:uiPriority w:val="0"/>
    <w:qFormat/>
    <w:pPr>
      <w:ind w:left="360" w:right="360"/>
      <w:jc w:val="left"/>
      <w:spacing w:before="100" w:after="100"/>
    </w:pPr>
    <w:rPr>
      <w:sz w:val="24"/>
      <w:szCs w:val="20"/>
    </w:rPr>
  </w:style>
  <w:style w:type="paragraph" w:styleId="1180" w:customStyle="1">
    <w:name w:val="PlainText"/>
    <w:basedOn w:val="866"/>
    <w:uiPriority w:val="0"/>
    <w:qFormat/>
    <w:rPr>
      <w:rFonts w:ascii="宋体" w:hAnsi="Courier New"/>
      <w:szCs w:val="21"/>
    </w:rPr>
  </w:style>
  <w:style w:type="paragraph" w:styleId="1181" w:customStyle="1">
    <w:name w:val="AnnotationText"/>
    <w:basedOn w:val="866"/>
    <w:uiPriority w:val="0"/>
    <w:qFormat/>
    <w:pPr>
      <w:jc w:val="left"/>
    </w:pPr>
  </w:style>
  <w:style w:type="paragraph" w:styleId="1182" w:customStyle="1">
    <w:name w:val="BodyText"/>
    <w:basedOn w:val="866"/>
    <w:uiPriority w:val="0"/>
    <w:qFormat/>
    <w:pPr>
      <w:jc w:val="left"/>
      <w:spacing w:line="312" w:lineRule="atLeast"/>
      <w:tabs>
        <w:tab w:val="left" w:pos="1160" w:leader="none"/>
        <w:tab w:val="left" w:pos="2423" w:leader="none"/>
      </w:tabs>
    </w:pPr>
    <w:rPr>
      <w:szCs w:val="20"/>
    </w:rPr>
  </w:style>
  <w:style w:type="character" w:styleId="1183" w:customStyle="1">
    <w:name w:val="hover"/>
    <w:basedOn w:val="876"/>
    <w:uiPriority w:val="0"/>
    <w:qFormat/>
    <w:rPr>
      <w:color w:val="5fb878"/>
    </w:rPr>
  </w:style>
  <w:style w:type="character" w:styleId="1184" w:customStyle="1">
    <w:name w:val="hover1"/>
    <w:basedOn w:val="876"/>
    <w:uiPriority w:val="0"/>
    <w:qFormat/>
    <w:rPr>
      <w:color w:val="5fb878"/>
    </w:rPr>
  </w:style>
  <w:style w:type="character" w:styleId="1185" w:customStyle="1">
    <w:name w:val="hover2"/>
    <w:basedOn w:val="876"/>
    <w:uiPriority w:val="0"/>
    <w:qFormat/>
    <w:rPr>
      <w:color w:val="ffffff"/>
    </w:rPr>
  </w:style>
  <w:style w:type="character" w:styleId="1186" w:customStyle="1">
    <w:name w:val="NormalCharacter1"/>
    <w:uiPriority w:val="0"/>
    <w:qFormat/>
    <w:rPr>
      <w:rFonts w:hint="default" w:ascii="Times New Roman" w:hAnsi="Times New Roman" w:eastAsia="宋体" w:cs="Times New Roman"/>
      <w:sz w:val="21"/>
      <w:szCs w:val="24"/>
      <w:lang w:val="en-US" w:eastAsia="zh-CN" w:bidi="ar-SA"/>
    </w:rPr>
  </w:style>
  <w:style w:type="paragraph" w:styleId="1187" w:customStyle="1">
    <w:name w:val="HtmlPre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default" w:ascii="黑体" w:hAnsi="Courier New" w:eastAsia="黑体" w:cs="Times New Roman"/>
      <w:lang w:val="en-US" w:eastAsia="zh-CN" w:bidi="ar-SA"/>
    </w:rPr>
  </w:style>
  <w:style w:type="table" w:styleId="1188" w:customStyle="1">
    <w:name w:val="网格型21"/>
    <w:basedOn w:val="8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89" w:customStyle="1">
    <w:name w:val="普通(网站)1"/>
    <w:basedOn w:val="866"/>
    <w:uiPriority w:val="0"/>
    <w:unhideWhenUsed/>
    <w:qFormat/>
    <w:pPr>
      <w:jc w:val="left"/>
      <w:spacing w:before="100" w:beforeAutospacing="1" w:after="100" w:afterAutospacing="1"/>
      <w:widowControl/>
    </w:pPr>
    <w:rPr>
      <w:rFonts w:ascii="宋体" w:hAnsi="宋体" w:cs="宋体"/>
      <w:sz w:val="24"/>
    </w:rPr>
  </w:style>
  <w:style w:type="paragraph" w:styleId="1190" w:customStyle="1">
    <w:name w:val="日期1"/>
    <w:basedOn w:val="866"/>
    <w:next w:val="866"/>
    <w:uiPriority w:val="0"/>
    <w:qFormat/>
    <w:rPr>
      <w:sz w:val="24"/>
      <w:szCs w:val="20"/>
    </w:rPr>
  </w:style>
  <w:style w:type="paragraph" w:styleId="1191" w:customStyle="1">
    <w:name w:val="标题 21"/>
    <w:basedOn w:val="866"/>
    <w:next w:val="866"/>
    <w:uiPriority w:val="0"/>
    <w:qFormat/>
    <w:pPr>
      <w:numPr>
        <w:ilvl w:val="1"/>
        <w:numId w:val="1"/>
      </w:numPr>
      <w:keepLines/>
      <w:keepNext/>
      <w:spacing w:before="260" w:after="260" w:line="416" w:lineRule="auto"/>
      <w:outlineLvl w:val="1"/>
    </w:pPr>
    <w:rPr>
      <w:rFonts w:ascii="Arial" w:hAnsi="Arial" w:eastAsia="黑体"/>
      <w:b/>
      <w:bCs/>
      <w:sz w:val="32"/>
      <w:szCs w:val="32"/>
    </w:rPr>
  </w:style>
  <w:style w:type="numbering" w:styleId="11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王莹莹</cp:lastModifiedBy>
  <cp:revision>75</cp:revision>
  <dcterms:created xsi:type="dcterms:W3CDTF">2023-10-09T13:20:00Z</dcterms:created>
  <dcterms:modified xsi:type="dcterms:W3CDTF">2026-07-07T02:36:07Z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3E579DF3F5C649EDAAF120A890ABC3B6_13</vt:lpwstr>
  </property>
  <property fmtid="{D5CDD505-2E9C-101B-9397-08002B2CF9AE}" pid="4" name="KSOTemplateDocerSaveRecord">
    <vt:lpwstr>eyJoZGlkIjoiOWVmMWYyYjljMWEwZDQ5ZTAxZmJhMDFlMzkyMTgzNTUiLCJ1c2VySWQiOiI4NTUyMzY2NTEifQ==</vt:lpwstr>
  </property>
</Properties>
</file>